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A99A" w14:textId="77777777" w:rsidR="00BA160D" w:rsidRDefault="0066782D" w:rsidP="00BA160D">
      <w:pPr>
        <w:rPr>
          <w:i/>
          <w:color w:val="FF0000"/>
          <w:lang w:val="sk-SK"/>
        </w:rPr>
      </w:pPr>
      <w:r>
        <w:rPr>
          <w:i/>
          <w:color w:val="FF0000"/>
          <w:lang w:val="sk-SK"/>
        </w:rPr>
        <w:t>Gestor kapitoly: Združenie pre kariérové poradenstvo a rozvoj kariéry</w:t>
      </w:r>
    </w:p>
    <w:p w14:paraId="0CADA99B" w14:textId="77777777" w:rsidR="0066782D" w:rsidRPr="00BA160D" w:rsidRDefault="0066782D" w:rsidP="00BA160D">
      <w:pPr>
        <w:rPr>
          <w:i/>
          <w:color w:val="FF0000"/>
          <w:lang w:val="sk-SK"/>
        </w:rPr>
      </w:pPr>
      <w:r>
        <w:rPr>
          <w:i/>
          <w:color w:val="FF0000"/>
          <w:lang w:val="sk-SK"/>
        </w:rPr>
        <w:t>Kontaktná osoba: Tomáš Šprlák, predseda (</w:t>
      </w:r>
      <w:hyperlink r:id="rId8" w:history="1">
        <w:r w:rsidRPr="00353CC7">
          <w:rPr>
            <w:rStyle w:val="Hyperlink"/>
            <w:i/>
            <w:lang w:val="sk-SK"/>
          </w:rPr>
          <w:t>predseda@zkprk.sk</w:t>
        </w:r>
      </w:hyperlink>
      <w:r>
        <w:rPr>
          <w:i/>
          <w:color w:val="FF0000"/>
          <w:lang w:val="sk-SK"/>
        </w:rPr>
        <w:t>, 0907 433 299)</w:t>
      </w:r>
    </w:p>
    <w:p w14:paraId="0CADA99C" w14:textId="77777777" w:rsidR="0062078D" w:rsidRPr="008B55D1" w:rsidRDefault="0062078D" w:rsidP="0062078D">
      <w:pPr>
        <w:pStyle w:val="Title"/>
        <w:rPr>
          <w:rStyle w:val="Strong"/>
          <w:lang w:val="sk-SK"/>
        </w:rPr>
      </w:pPr>
      <w:r w:rsidRPr="008B55D1">
        <w:rPr>
          <w:lang w:val="sk-SK"/>
        </w:rPr>
        <w:t>Stratégia celoživotného vzdelávania</w:t>
      </w:r>
    </w:p>
    <w:p w14:paraId="0CADA99D" w14:textId="7B1854C4" w:rsidR="0062078D" w:rsidRPr="008B55D1" w:rsidRDefault="0062078D" w:rsidP="0062078D">
      <w:pPr>
        <w:pStyle w:val="Heading1"/>
        <w:rPr>
          <w:lang w:val="sk-SK"/>
        </w:rPr>
      </w:pPr>
      <w:r w:rsidRPr="008B55D1">
        <w:rPr>
          <w:lang w:val="sk-SK"/>
        </w:rPr>
        <w:t>Celoživotné kariérové poradenstvo</w:t>
      </w:r>
    </w:p>
    <w:p w14:paraId="0CADA99F" w14:textId="77777777" w:rsidR="00942310" w:rsidRPr="008B55D1" w:rsidRDefault="00942310" w:rsidP="0062078D">
      <w:pPr>
        <w:pStyle w:val="Heading2"/>
        <w:rPr>
          <w:lang w:val="sk-SK"/>
        </w:rPr>
      </w:pPr>
    </w:p>
    <w:p w14:paraId="0CADA9A0" w14:textId="77777777" w:rsidR="00DB2F9F" w:rsidRDefault="00F94ED7" w:rsidP="0062078D">
      <w:pPr>
        <w:pStyle w:val="Heading2"/>
        <w:rPr>
          <w:lang w:val="sk-SK"/>
        </w:rPr>
      </w:pPr>
      <w:r>
        <w:rPr>
          <w:lang w:val="sk-SK"/>
        </w:rPr>
        <w:t xml:space="preserve">Kariérové poradenstvo je nevyhnutnou </w:t>
      </w:r>
      <w:r w:rsidR="001A064B">
        <w:rPr>
          <w:lang w:val="sk-SK"/>
        </w:rPr>
        <w:t>podmienkou systému</w:t>
      </w:r>
      <w:r>
        <w:rPr>
          <w:lang w:val="sk-SK"/>
        </w:rPr>
        <w:t xml:space="preserve"> celoživotného vzdelávania</w:t>
      </w:r>
    </w:p>
    <w:p w14:paraId="0CADA9A1" w14:textId="77777777" w:rsidR="001A7DC1" w:rsidRPr="001A7DC1" w:rsidRDefault="001A7DC1" w:rsidP="001A7DC1">
      <w:pPr>
        <w:jc w:val="both"/>
        <w:rPr>
          <w:lang w:val="sk-SK"/>
        </w:rPr>
      </w:pPr>
      <w:r>
        <w:rPr>
          <w:lang w:val="sk-SK"/>
        </w:rPr>
        <w:t>Celoživotným kariérovým poradenstvom rozumieme š</w:t>
      </w:r>
      <w:r w:rsidRPr="001A7DC1">
        <w:rPr>
          <w:lang w:val="sk-SK"/>
        </w:rPr>
        <w:t>kál</w:t>
      </w:r>
      <w:r>
        <w:rPr>
          <w:lang w:val="sk-SK"/>
        </w:rPr>
        <w:t>u</w:t>
      </w:r>
      <w:r w:rsidRPr="001A7DC1">
        <w:rPr>
          <w:lang w:val="sk-SK"/>
        </w:rPr>
        <w:t xml:space="preserve"> aktivít, ktoré umožňujú občanom </w:t>
      </w:r>
      <w:r w:rsidR="00DC5241">
        <w:rPr>
          <w:lang w:val="sk-SK"/>
        </w:rPr>
        <w:br/>
      </w:r>
      <w:r w:rsidRPr="00DC5241">
        <w:rPr>
          <w:b/>
          <w:lang w:val="sk-SK"/>
        </w:rPr>
        <w:t>v akomkoľvek veku</w:t>
      </w:r>
      <w:r w:rsidRPr="001A7DC1">
        <w:rPr>
          <w:lang w:val="sk-SK"/>
        </w:rPr>
        <w:t xml:space="preserve"> a</w:t>
      </w:r>
      <w:r w:rsidR="00EF1CEF">
        <w:rPr>
          <w:lang w:val="sk-SK"/>
        </w:rPr>
        <w:t xml:space="preserve"> v rôznych životných situáciách </w:t>
      </w:r>
      <w:r w:rsidRPr="001A7DC1">
        <w:rPr>
          <w:lang w:val="sk-SK"/>
        </w:rPr>
        <w:t>identifikovať schopnosti, kompetencie a</w:t>
      </w:r>
      <w:r w:rsidR="00B02C87">
        <w:rPr>
          <w:lang w:val="sk-SK"/>
        </w:rPr>
        <w:t> </w:t>
      </w:r>
      <w:r w:rsidRPr="001A7DC1">
        <w:rPr>
          <w:lang w:val="sk-SK"/>
        </w:rPr>
        <w:t>záujmy</w:t>
      </w:r>
      <w:r w:rsidR="00B02C87">
        <w:rPr>
          <w:lang w:val="sk-SK"/>
        </w:rPr>
        <w:t xml:space="preserve"> pre </w:t>
      </w:r>
      <w:r w:rsidR="00B02C87" w:rsidRPr="00DC5241">
        <w:rPr>
          <w:b/>
          <w:lang w:val="sk-SK"/>
        </w:rPr>
        <w:t>vykonávanie</w:t>
      </w:r>
      <w:r w:rsidRPr="00DC5241">
        <w:rPr>
          <w:b/>
          <w:lang w:val="sk-SK"/>
        </w:rPr>
        <w:t xml:space="preserve"> vzdelávac</w:t>
      </w:r>
      <w:r w:rsidR="00B02C87" w:rsidRPr="00DC5241">
        <w:rPr>
          <w:b/>
          <w:lang w:val="sk-SK"/>
        </w:rPr>
        <w:t>ích</w:t>
      </w:r>
      <w:r w:rsidRPr="00DC5241">
        <w:rPr>
          <w:b/>
          <w:lang w:val="sk-SK"/>
        </w:rPr>
        <w:t xml:space="preserve"> a</w:t>
      </w:r>
      <w:r w:rsidR="001534F8" w:rsidRPr="00DC5241">
        <w:rPr>
          <w:b/>
          <w:lang w:val="sk-SK"/>
        </w:rPr>
        <w:t> pracovných rozhodnutí</w:t>
      </w:r>
      <w:r w:rsidR="001534F8">
        <w:rPr>
          <w:lang w:val="sk-SK"/>
        </w:rPr>
        <w:t xml:space="preserve"> </w:t>
      </w:r>
      <w:r w:rsidRPr="001A7DC1">
        <w:rPr>
          <w:lang w:val="sk-SK"/>
        </w:rPr>
        <w:t xml:space="preserve">a </w:t>
      </w:r>
      <w:r w:rsidR="001534F8" w:rsidRPr="00DC5241">
        <w:rPr>
          <w:b/>
          <w:lang w:val="sk-SK"/>
        </w:rPr>
        <w:t>riadenie</w:t>
      </w:r>
      <w:r w:rsidRPr="00DC5241">
        <w:rPr>
          <w:b/>
          <w:lang w:val="sk-SK"/>
        </w:rPr>
        <w:t xml:space="preserve"> </w:t>
      </w:r>
      <w:r w:rsidR="001534F8" w:rsidRPr="00DC5241">
        <w:rPr>
          <w:b/>
          <w:lang w:val="sk-SK"/>
        </w:rPr>
        <w:t xml:space="preserve">svojej </w:t>
      </w:r>
      <w:r w:rsidRPr="00DC5241">
        <w:rPr>
          <w:b/>
          <w:lang w:val="sk-SK"/>
        </w:rPr>
        <w:t>individuálne</w:t>
      </w:r>
      <w:r w:rsidR="001534F8" w:rsidRPr="00DC5241">
        <w:rPr>
          <w:b/>
          <w:lang w:val="sk-SK"/>
        </w:rPr>
        <w:t>j</w:t>
      </w:r>
      <w:r w:rsidRPr="00DC5241">
        <w:rPr>
          <w:b/>
          <w:lang w:val="sk-SK"/>
        </w:rPr>
        <w:t xml:space="preserve"> životn</w:t>
      </w:r>
      <w:r w:rsidR="001534F8" w:rsidRPr="00DC5241">
        <w:rPr>
          <w:b/>
          <w:lang w:val="sk-SK"/>
        </w:rPr>
        <w:t>ej</w:t>
      </w:r>
      <w:r w:rsidRPr="00DC5241">
        <w:rPr>
          <w:b/>
          <w:lang w:val="sk-SK"/>
        </w:rPr>
        <w:t xml:space="preserve"> cesty</w:t>
      </w:r>
      <w:r w:rsidRPr="001A7DC1">
        <w:rPr>
          <w:lang w:val="sk-SK"/>
        </w:rPr>
        <w:t xml:space="preserve"> vo vzdelávaní, práci a iných </w:t>
      </w:r>
      <w:r w:rsidR="00DC5241">
        <w:rPr>
          <w:lang w:val="sk-SK"/>
        </w:rPr>
        <w:t>kontextoch</w:t>
      </w:r>
      <w:r w:rsidR="00F45529">
        <w:rPr>
          <w:rStyle w:val="FootnoteReference"/>
          <w:lang w:val="sk-SK"/>
        </w:rPr>
        <w:footnoteReference w:id="1"/>
      </w:r>
      <w:r w:rsidRPr="001A7DC1">
        <w:rPr>
          <w:lang w:val="sk-SK"/>
        </w:rPr>
        <w:t>.</w:t>
      </w:r>
    </w:p>
    <w:p w14:paraId="0CADA9A2" w14:textId="77777777" w:rsidR="00550CBB" w:rsidRDefault="002C04ED" w:rsidP="00995FE3">
      <w:pPr>
        <w:jc w:val="both"/>
        <w:rPr>
          <w:lang w:val="sk-SK"/>
        </w:rPr>
      </w:pPr>
      <w:r>
        <w:rPr>
          <w:lang w:val="sk-SK"/>
        </w:rPr>
        <w:t>Dostupné a kvalitné kariérové poradenstvo</w:t>
      </w:r>
      <w:r w:rsidR="007455B0">
        <w:rPr>
          <w:lang w:val="sk-SK"/>
        </w:rPr>
        <w:t xml:space="preserve"> je nevyhnutnou </w:t>
      </w:r>
      <w:r w:rsidR="007455B0" w:rsidRPr="00DC5241">
        <w:rPr>
          <w:b/>
          <w:lang w:val="sk-SK"/>
        </w:rPr>
        <w:t>podmienkou funkčného systému celoživotného poradenstva</w:t>
      </w:r>
      <w:r w:rsidR="00F543C0">
        <w:rPr>
          <w:b/>
          <w:lang w:val="sk-SK"/>
        </w:rPr>
        <w:t>:</w:t>
      </w:r>
      <w:r>
        <w:rPr>
          <w:lang w:val="sk-SK"/>
        </w:rPr>
        <w:t xml:space="preserve"> </w:t>
      </w:r>
    </w:p>
    <w:p w14:paraId="0CADA9A3" w14:textId="77777777" w:rsidR="00550CBB" w:rsidRDefault="00526367" w:rsidP="00550CBB">
      <w:pPr>
        <w:pStyle w:val="ListParagraph"/>
        <w:numPr>
          <w:ilvl w:val="0"/>
          <w:numId w:val="13"/>
        </w:numPr>
        <w:jc w:val="both"/>
        <w:rPr>
          <w:lang w:val="sk-SK"/>
        </w:rPr>
      </w:pPr>
      <w:r w:rsidRPr="000757DC">
        <w:rPr>
          <w:b/>
          <w:lang w:val="sk-SK"/>
        </w:rPr>
        <w:t>zvyšuje</w:t>
      </w:r>
      <w:r w:rsidRPr="00550CBB">
        <w:rPr>
          <w:lang w:val="sk-SK"/>
        </w:rPr>
        <w:t xml:space="preserve"> </w:t>
      </w:r>
      <w:r w:rsidR="001577C6" w:rsidRPr="00550CBB">
        <w:rPr>
          <w:lang w:val="sk-SK"/>
        </w:rPr>
        <w:t xml:space="preserve">kariérové a </w:t>
      </w:r>
      <w:r w:rsidRPr="00550CBB">
        <w:rPr>
          <w:lang w:val="sk-SK"/>
        </w:rPr>
        <w:t>vzdelávacie ašpirácie občanov</w:t>
      </w:r>
      <w:r w:rsidR="00FB45FF">
        <w:rPr>
          <w:lang w:val="sk-SK"/>
        </w:rPr>
        <w:t xml:space="preserve"> </w:t>
      </w:r>
      <w:r w:rsidR="00701C70">
        <w:rPr>
          <w:lang w:val="sk-SK"/>
        </w:rPr>
        <w:t xml:space="preserve">(motivácia </w:t>
      </w:r>
      <w:r w:rsidR="00701C70" w:rsidRPr="00FB45FF">
        <w:rPr>
          <w:lang w:val="sk-SK"/>
        </w:rPr>
        <w:t>zvýšiť si alebo získať novú kvalifikáciu</w:t>
      </w:r>
      <w:r w:rsidR="00701C70">
        <w:rPr>
          <w:lang w:val="sk-SK"/>
        </w:rPr>
        <w:t xml:space="preserve">) </w:t>
      </w:r>
      <w:r w:rsidR="00FB45FF">
        <w:rPr>
          <w:lang w:val="sk-SK"/>
        </w:rPr>
        <w:t xml:space="preserve">a </w:t>
      </w:r>
      <w:r w:rsidR="00FB45FF" w:rsidRPr="000757DC">
        <w:rPr>
          <w:b/>
          <w:lang w:val="sk-SK"/>
        </w:rPr>
        <w:t>motiváciu zúčastňovať sa vzdelávania</w:t>
      </w:r>
      <w:r w:rsidR="00FC087E">
        <w:rPr>
          <w:rStyle w:val="FootnoteReference"/>
          <w:lang w:val="sk-SK"/>
        </w:rPr>
        <w:footnoteReference w:id="2"/>
      </w:r>
      <w:r w:rsidR="00F543C0">
        <w:rPr>
          <w:lang w:val="sk-SK"/>
        </w:rPr>
        <w:t>,</w:t>
      </w:r>
    </w:p>
    <w:p w14:paraId="0CADA9A4" w14:textId="77777777" w:rsidR="007C354E" w:rsidRDefault="002C69C4" w:rsidP="00550CBB">
      <w:pPr>
        <w:pStyle w:val="ListParagraph"/>
        <w:numPr>
          <w:ilvl w:val="0"/>
          <w:numId w:val="13"/>
        </w:numPr>
        <w:jc w:val="both"/>
        <w:rPr>
          <w:lang w:val="sk-SK"/>
        </w:rPr>
      </w:pPr>
      <w:r w:rsidRPr="000757DC">
        <w:rPr>
          <w:b/>
          <w:lang w:val="sk-SK"/>
        </w:rPr>
        <w:t xml:space="preserve">zvyšuje </w:t>
      </w:r>
      <w:r w:rsidR="00886D3F" w:rsidRPr="000757DC">
        <w:rPr>
          <w:b/>
          <w:lang w:val="sk-SK"/>
        </w:rPr>
        <w:t xml:space="preserve">efektivitu investícií do celoživotného </w:t>
      </w:r>
      <w:r w:rsidR="000757DC" w:rsidRPr="000757DC">
        <w:rPr>
          <w:b/>
          <w:lang w:val="sk-SK"/>
        </w:rPr>
        <w:t>vzdelávania</w:t>
      </w:r>
      <w:r w:rsidR="000757DC">
        <w:rPr>
          <w:lang w:val="sk-SK"/>
        </w:rPr>
        <w:t xml:space="preserve"> </w:t>
      </w:r>
      <w:r w:rsidR="00382D5E">
        <w:rPr>
          <w:lang w:val="sk-SK"/>
        </w:rPr>
        <w:t xml:space="preserve">lepším zacielením </w:t>
      </w:r>
      <w:r w:rsidR="00B426AE" w:rsidRPr="00550CBB">
        <w:rPr>
          <w:lang w:val="sk-SK"/>
        </w:rPr>
        <w:t>vzdelávania</w:t>
      </w:r>
      <w:r w:rsidR="006F39C7">
        <w:rPr>
          <w:lang w:val="sk-SK"/>
        </w:rPr>
        <w:t>, resp.</w:t>
      </w:r>
      <w:r w:rsidR="00382D5E">
        <w:rPr>
          <w:lang w:val="sk-SK"/>
        </w:rPr>
        <w:t xml:space="preserve"> jeho zosúladením s predpokladmi občana a potrebami trhu práce</w:t>
      </w:r>
      <w:r w:rsidR="00382D5E">
        <w:rPr>
          <w:rStyle w:val="FootnoteReference"/>
          <w:lang w:val="sk-SK"/>
        </w:rPr>
        <w:t xml:space="preserve"> </w:t>
      </w:r>
      <w:r w:rsidR="00FE1B13">
        <w:rPr>
          <w:rStyle w:val="FootnoteReference"/>
          <w:lang w:val="sk-SK"/>
        </w:rPr>
        <w:footnoteReference w:id="3"/>
      </w:r>
      <w:r w:rsidR="006F39C7">
        <w:rPr>
          <w:lang w:val="sk-SK"/>
        </w:rPr>
        <w:t>,</w:t>
      </w:r>
    </w:p>
    <w:p w14:paraId="0CADA9A5" w14:textId="77777777" w:rsidR="00FB45FF" w:rsidRDefault="00FB45FF" w:rsidP="00995FE3">
      <w:pPr>
        <w:pStyle w:val="ListParagraph"/>
        <w:numPr>
          <w:ilvl w:val="0"/>
          <w:numId w:val="13"/>
        </w:numPr>
        <w:jc w:val="both"/>
        <w:rPr>
          <w:lang w:val="sk-SK"/>
        </w:rPr>
      </w:pPr>
      <w:r w:rsidRPr="00701C70">
        <w:rPr>
          <w:b/>
          <w:lang w:val="sk-SK"/>
        </w:rPr>
        <w:t>z</w:t>
      </w:r>
      <w:r w:rsidR="00132518" w:rsidRPr="00701C70">
        <w:rPr>
          <w:b/>
          <w:lang w:val="sk-SK"/>
        </w:rPr>
        <w:t xml:space="preserve">nižuje </w:t>
      </w:r>
      <w:r w:rsidR="00995FE3" w:rsidRPr="00701C70">
        <w:rPr>
          <w:b/>
          <w:lang w:val="sk-SK"/>
        </w:rPr>
        <w:t>postojové bariéry</w:t>
      </w:r>
      <w:r w:rsidR="008113C8" w:rsidRPr="00132518">
        <w:rPr>
          <w:lang w:val="sk-SK"/>
        </w:rPr>
        <w:t xml:space="preserve"> </w:t>
      </w:r>
      <w:r w:rsidR="00701C70">
        <w:rPr>
          <w:lang w:val="sk-SK"/>
        </w:rPr>
        <w:t xml:space="preserve">zabraňujúce účasti na vzdelávacích aktivitách </w:t>
      </w:r>
      <w:r w:rsidR="001471BB">
        <w:rPr>
          <w:lang w:val="sk-SK"/>
        </w:rPr>
        <w:t>(</w:t>
      </w:r>
      <w:r w:rsidR="006F39C7">
        <w:rPr>
          <w:lang w:val="sk-SK"/>
        </w:rPr>
        <w:t xml:space="preserve">napr. </w:t>
      </w:r>
      <w:r w:rsidR="001471BB" w:rsidRPr="00132518">
        <w:rPr>
          <w:lang w:val="sk-SK"/>
        </w:rPr>
        <w:t>vníma</w:t>
      </w:r>
      <w:r w:rsidR="001471BB">
        <w:rPr>
          <w:lang w:val="sk-SK"/>
        </w:rPr>
        <w:t>nie vzdelávania</w:t>
      </w:r>
      <w:r w:rsidR="001471BB" w:rsidRPr="00132518">
        <w:rPr>
          <w:lang w:val="sk-SK"/>
        </w:rPr>
        <w:t xml:space="preserve"> ako nepotrebné</w:t>
      </w:r>
      <w:r w:rsidR="001471BB">
        <w:rPr>
          <w:lang w:val="sk-SK"/>
        </w:rPr>
        <w:t>ho</w:t>
      </w:r>
      <w:r w:rsidR="001471BB" w:rsidRPr="00132518">
        <w:rPr>
          <w:lang w:val="sk-SK"/>
        </w:rPr>
        <w:t xml:space="preserve">, obavy, </w:t>
      </w:r>
      <w:r w:rsidR="001471BB">
        <w:rPr>
          <w:lang w:val="sk-SK"/>
        </w:rPr>
        <w:t xml:space="preserve">nedostatok </w:t>
      </w:r>
      <w:r w:rsidR="001471BB" w:rsidRPr="00132518">
        <w:rPr>
          <w:lang w:val="sk-SK"/>
        </w:rPr>
        <w:t>sebadôvery</w:t>
      </w:r>
      <w:r w:rsidR="001471BB">
        <w:rPr>
          <w:lang w:val="sk-SK"/>
        </w:rPr>
        <w:t xml:space="preserve"> a pod.)</w:t>
      </w:r>
      <w:r w:rsidR="001471BB" w:rsidRPr="00132518">
        <w:rPr>
          <w:lang w:val="sk-SK"/>
        </w:rPr>
        <w:t xml:space="preserve"> </w:t>
      </w:r>
      <w:r>
        <w:rPr>
          <w:lang w:val="sk-SK"/>
        </w:rPr>
        <w:t>-</w:t>
      </w:r>
      <w:r w:rsidR="008113C8" w:rsidRPr="00132518">
        <w:rPr>
          <w:lang w:val="sk-SK"/>
        </w:rPr>
        <w:t xml:space="preserve"> osobitne u občanov s nízkou kvalifikáciou</w:t>
      </w:r>
      <w:r w:rsidR="00B04683">
        <w:rPr>
          <w:rStyle w:val="FootnoteReference"/>
          <w:lang w:val="sk-SK"/>
        </w:rPr>
        <w:footnoteReference w:id="4"/>
      </w:r>
      <w:r w:rsidR="00995FE3" w:rsidRPr="00132518">
        <w:rPr>
          <w:lang w:val="sk-SK"/>
        </w:rPr>
        <w:t xml:space="preserve">. </w:t>
      </w:r>
    </w:p>
    <w:p w14:paraId="0CADA9A6" w14:textId="77777777" w:rsidR="00AF1F02" w:rsidRPr="000757DC" w:rsidRDefault="001E5CD5" w:rsidP="000757DC">
      <w:pPr>
        <w:jc w:val="both"/>
        <w:rPr>
          <w:lang w:val="sk-SK"/>
        </w:rPr>
      </w:pPr>
      <w:r>
        <w:rPr>
          <w:lang w:val="sk-SK"/>
        </w:rPr>
        <w:t>Z hľadiska širších sociálnych a ekonomických dopadov k</w:t>
      </w:r>
      <w:r w:rsidR="00995FE3" w:rsidRPr="00FB45FF">
        <w:rPr>
          <w:lang w:val="sk-SK"/>
        </w:rPr>
        <w:t xml:space="preserve">ariérové poradenstvo </w:t>
      </w:r>
      <w:r w:rsidR="00995FE3" w:rsidRPr="00673399">
        <w:rPr>
          <w:b/>
          <w:lang w:val="sk-SK"/>
        </w:rPr>
        <w:t>rozvíja samostatnosť</w:t>
      </w:r>
      <w:r w:rsidR="00995FE3" w:rsidRPr="00FB45FF">
        <w:rPr>
          <w:lang w:val="sk-SK"/>
        </w:rPr>
        <w:t xml:space="preserve"> </w:t>
      </w:r>
      <w:r w:rsidR="00673399">
        <w:rPr>
          <w:lang w:val="sk-SK"/>
        </w:rPr>
        <w:t>(</w:t>
      </w:r>
      <w:r w:rsidR="00995FE3" w:rsidRPr="00FB45FF">
        <w:rPr>
          <w:lang w:val="sk-SK"/>
        </w:rPr>
        <w:t>zručnosti pre riadenie vlastnej kariéry</w:t>
      </w:r>
      <w:r w:rsidR="00D61651">
        <w:rPr>
          <w:rStyle w:val="FootnoteReference"/>
          <w:lang w:val="sk-SK"/>
        </w:rPr>
        <w:footnoteReference w:id="5"/>
      </w:r>
      <w:r w:rsidR="00673399">
        <w:rPr>
          <w:lang w:val="sk-SK"/>
        </w:rPr>
        <w:t>)</w:t>
      </w:r>
      <w:r>
        <w:rPr>
          <w:lang w:val="sk-SK"/>
        </w:rPr>
        <w:t>,</w:t>
      </w:r>
      <w:r w:rsidR="00995FE3" w:rsidRPr="00FB45FF">
        <w:rPr>
          <w:lang w:val="sk-SK"/>
        </w:rPr>
        <w:t xml:space="preserve"> </w:t>
      </w:r>
      <w:r w:rsidR="00673399">
        <w:rPr>
          <w:lang w:val="sk-SK"/>
        </w:rPr>
        <w:t>urýchľuje</w:t>
      </w:r>
      <w:r w:rsidR="00995FE3" w:rsidRPr="00FB45FF">
        <w:rPr>
          <w:lang w:val="sk-SK"/>
        </w:rPr>
        <w:t xml:space="preserve"> prechod medzi rôznymi životnými situáciami </w:t>
      </w:r>
      <w:r w:rsidR="00673399">
        <w:rPr>
          <w:lang w:val="sk-SK"/>
        </w:rPr>
        <w:t>(</w:t>
      </w:r>
      <w:r w:rsidR="00995FE3" w:rsidRPr="00FB45FF">
        <w:rPr>
          <w:lang w:val="sk-SK"/>
        </w:rPr>
        <w:t>napr. z nezamestnanosti na trh práce</w:t>
      </w:r>
      <w:r w:rsidR="00DB0673">
        <w:rPr>
          <w:rStyle w:val="FootnoteReference"/>
          <w:lang w:val="sk-SK"/>
        </w:rPr>
        <w:footnoteReference w:id="6"/>
      </w:r>
      <w:r w:rsidR="00673399">
        <w:rPr>
          <w:lang w:val="sk-SK"/>
        </w:rPr>
        <w:t>)</w:t>
      </w:r>
      <w:r>
        <w:rPr>
          <w:lang w:val="sk-SK"/>
        </w:rPr>
        <w:t xml:space="preserve">, </w:t>
      </w:r>
      <w:r w:rsidR="00995FE3" w:rsidRPr="00895A73">
        <w:rPr>
          <w:b/>
          <w:lang w:val="sk-SK"/>
        </w:rPr>
        <w:t>zmierňuje nesúlad medzi požiadavkami zamestnávateľov a trh</w:t>
      </w:r>
      <w:r w:rsidR="00895A73">
        <w:rPr>
          <w:b/>
          <w:lang w:val="sk-SK"/>
        </w:rPr>
        <w:t>om</w:t>
      </w:r>
      <w:r w:rsidR="00995FE3" w:rsidRPr="00895A73">
        <w:rPr>
          <w:b/>
          <w:lang w:val="sk-SK"/>
        </w:rPr>
        <w:t xml:space="preserve"> </w:t>
      </w:r>
      <w:r w:rsidR="00995FE3" w:rsidRPr="00895A73">
        <w:rPr>
          <w:b/>
          <w:lang w:val="sk-SK"/>
        </w:rPr>
        <w:lastRenderedPageBreak/>
        <w:t>práce</w:t>
      </w:r>
      <w:r w:rsidR="00995FE3" w:rsidRPr="00FB45FF">
        <w:rPr>
          <w:lang w:val="sk-SK"/>
        </w:rPr>
        <w:t xml:space="preserve">. Zároveň </w:t>
      </w:r>
      <w:r w:rsidR="00995FE3" w:rsidRPr="000A294E">
        <w:rPr>
          <w:b/>
          <w:lang w:val="sk-SK"/>
        </w:rPr>
        <w:t>posilňuje geografickú a sektorovú mobilitu pracovnej sily</w:t>
      </w:r>
      <w:r w:rsidR="006C129E">
        <w:rPr>
          <w:b/>
          <w:lang w:val="sk-SK"/>
        </w:rPr>
        <w:t xml:space="preserve"> a flexibilitu trhu práce</w:t>
      </w:r>
      <w:r w:rsidR="0024490D">
        <w:rPr>
          <w:rStyle w:val="FootnoteReference"/>
          <w:b/>
          <w:lang w:val="sk-SK"/>
        </w:rPr>
        <w:footnoteReference w:id="7"/>
      </w:r>
      <w:r w:rsidR="00F81766">
        <w:rPr>
          <w:lang w:val="sk-SK"/>
        </w:rPr>
        <w:t>,</w:t>
      </w:r>
      <w:r w:rsidR="000757DC">
        <w:rPr>
          <w:lang w:val="sk-SK"/>
        </w:rPr>
        <w:t xml:space="preserve"> </w:t>
      </w:r>
      <w:r w:rsidR="00AF1F02" w:rsidRPr="000757DC">
        <w:rPr>
          <w:lang w:val="sk-SK"/>
        </w:rPr>
        <w:t xml:space="preserve"> zabraňuje sociálnemu vylúčeniu a znižuje riziko radikalizácie</w:t>
      </w:r>
      <w:r w:rsidR="00247BB2">
        <w:rPr>
          <w:rStyle w:val="FootnoteReference"/>
          <w:lang w:val="fr-FR"/>
        </w:rPr>
        <w:footnoteReference w:id="8"/>
      </w:r>
      <w:r w:rsidR="00AF1F02" w:rsidRPr="000757DC">
        <w:rPr>
          <w:lang w:val="sk-SK"/>
        </w:rPr>
        <w:t>.</w:t>
      </w:r>
    </w:p>
    <w:p w14:paraId="0CADA9A7" w14:textId="77777777" w:rsidR="00AA42BD" w:rsidRDefault="00360B29" w:rsidP="00AA42BD">
      <w:pPr>
        <w:pStyle w:val="Heading2"/>
        <w:rPr>
          <w:lang w:val="sk-SK"/>
        </w:rPr>
      </w:pPr>
      <w:r>
        <w:rPr>
          <w:lang w:val="sk-SK"/>
        </w:rPr>
        <w:t xml:space="preserve">Súčasný systém </w:t>
      </w:r>
      <w:r w:rsidR="00B401EB">
        <w:rPr>
          <w:lang w:val="sk-SK"/>
        </w:rPr>
        <w:t>kariérového poradenstva</w:t>
      </w:r>
      <w:r w:rsidR="00A369FF">
        <w:rPr>
          <w:lang w:val="sk-SK"/>
        </w:rPr>
        <w:t xml:space="preserve"> </w:t>
      </w:r>
      <w:r w:rsidR="001A064B">
        <w:rPr>
          <w:lang w:val="sk-SK"/>
        </w:rPr>
        <w:t>nie je postačujúci</w:t>
      </w:r>
    </w:p>
    <w:p w14:paraId="0CADA9A8" w14:textId="77777777" w:rsidR="00563633" w:rsidRPr="005677E4" w:rsidRDefault="0017478E" w:rsidP="005677E4">
      <w:pPr>
        <w:jc w:val="both"/>
        <w:rPr>
          <w:lang w:val="sk-SK"/>
        </w:rPr>
      </w:pPr>
      <w:r>
        <w:rPr>
          <w:lang w:val="sk-SK"/>
        </w:rPr>
        <w:t>Participatívny spôsob tvorby tejto kapitol</w:t>
      </w:r>
      <w:r w:rsidR="00B943B4">
        <w:rPr>
          <w:lang w:val="sk-SK"/>
        </w:rPr>
        <w:t>y</w:t>
      </w:r>
      <w:r w:rsidR="00424181">
        <w:rPr>
          <w:rStyle w:val="FootnoteReference"/>
          <w:lang w:val="sk-SK"/>
        </w:rPr>
        <w:footnoteReference w:id="9"/>
      </w:r>
      <w:r w:rsidR="00424181">
        <w:rPr>
          <w:lang w:val="sk-SK"/>
        </w:rPr>
        <w:t xml:space="preserve"> </w:t>
      </w:r>
      <w:r w:rsidR="00B943B4">
        <w:rPr>
          <w:lang w:val="sk-SK"/>
        </w:rPr>
        <w:t>umožnil</w:t>
      </w:r>
      <w:r w:rsidR="00604B3E">
        <w:rPr>
          <w:lang w:val="sk-SK"/>
        </w:rPr>
        <w:t xml:space="preserve"> </w:t>
      </w:r>
      <w:r w:rsidR="00120CF6">
        <w:rPr>
          <w:lang w:val="sk-SK"/>
        </w:rPr>
        <w:t xml:space="preserve">pomocou konzultácií viac ako 140 zapojených zúčastnených strán </w:t>
      </w:r>
      <w:r w:rsidR="00604B3E">
        <w:rPr>
          <w:lang w:val="sk-SK"/>
        </w:rPr>
        <w:t>vyhodnotiť súčasný stav systému</w:t>
      </w:r>
      <w:r w:rsidR="00120CF6">
        <w:rPr>
          <w:lang w:val="sk-SK"/>
        </w:rPr>
        <w:t xml:space="preserve"> celoživotného poradenstva</w:t>
      </w:r>
      <w:r w:rsidR="00D06E9E">
        <w:rPr>
          <w:lang w:val="sk-SK"/>
        </w:rPr>
        <w:t xml:space="preserve">, určiť prioritné oblasti </w:t>
      </w:r>
      <w:r w:rsidR="0070592D">
        <w:rPr>
          <w:lang w:val="sk-SK"/>
        </w:rPr>
        <w:t xml:space="preserve">a podnety </w:t>
      </w:r>
      <w:r w:rsidR="00120CF6">
        <w:rPr>
          <w:lang w:val="sk-SK"/>
        </w:rPr>
        <w:t xml:space="preserve">pre jeho ďalší </w:t>
      </w:r>
      <w:r w:rsidR="00D06E9E">
        <w:rPr>
          <w:lang w:val="sk-SK"/>
        </w:rPr>
        <w:t>rozvoj</w:t>
      </w:r>
      <w:r w:rsidR="00424181">
        <w:rPr>
          <w:lang w:val="sk-SK"/>
        </w:rPr>
        <w:t>.</w:t>
      </w:r>
      <w:r w:rsidR="001109A9">
        <w:rPr>
          <w:lang w:val="sk-SK"/>
        </w:rPr>
        <w:t xml:space="preserve"> </w:t>
      </w:r>
      <w:r w:rsidR="0073374C">
        <w:rPr>
          <w:lang w:val="sk-SK"/>
        </w:rPr>
        <w:t xml:space="preserve">Krátky popis </w:t>
      </w:r>
      <w:r w:rsidR="001109A9">
        <w:rPr>
          <w:lang w:val="sk-SK"/>
        </w:rPr>
        <w:t>súčasn</w:t>
      </w:r>
      <w:r w:rsidR="0073374C">
        <w:rPr>
          <w:lang w:val="sk-SK"/>
        </w:rPr>
        <w:t>ého</w:t>
      </w:r>
      <w:r w:rsidR="001109A9">
        <w:rPr>
          <w:lang w:val="sk-SK"/>
        </w:rPr>
        <w:t xml:space="preserve"> stav</w:t>
      </w:r>
      <w:r w:rsidR="0073374C">
        <w:rPr>
          <w:lang w:val="sk-SK"/>
        </w:rPr>
        <w:t>u</w:t>
      </w:r>
      <w:r w:rsidR="001109A9">
        <w:rPr>
          <w:lang w:val="sk-SK"/>
        </w:rPr>
        <w:t xml:space="preserve"> </w:t>
      </w:r>
      <w:r w:rsidR="0073374C">
        <w:rPr>
          <w:lang w:val="sk-SK"/>
        </w:rPr>
        <w:t>je</w:t>
      </w:r>
      <w:r w:rsidR="001109A9">
        <w:rPr>
          <w:lang w:val="sk-SK"/>
        </w:rPr>
        <w:t xml:space="preserve"> uveden</w:t>
      </w:r>
      <w:r w:rsidR="0073374C">
        <w:rPr>
          <w:lang w:val="sk-SK"/>
        </w:rPr>
        <w:t>ý</w:t>
      </w:r>
      <w:r w:rsidR="001109A9">
        <w:rPr>
          <w:lang w:val="sk-SK"/>
        </w:rPr>
        <w:t xml:space="preserve"> v nasledujúcom </w:t>
      </w:r>
      <w:r w:rsidR="00B401EB">
        <w:rPr>
          <w:lang w:val="sk-SK"/>
        </w:rPr>
        <w:t>bloku: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5677E4" w:rsidRPr="00432080" w14:paraId="0CADA9AA" w14:textId="77777777" w:rsidTr="00737986">
        <w:tc>
          <w:tcPr>
            <w:tcW w:w="9500" w:type="dxa"/>
            <w:shd w:val="clear" w:color="auto" w:fill="D9E2F3" w:themeFill="accent1" w:themeFillTint="33"/>
          </w:tcPr>
          <w:p w14:paraId="0CADA9A9" w14:textId="77777777" w:rsidR="005677E4" w:rsidRPr="007C05BB" w:rsidRDefault="005677E4" w:rsidP="00737986">
            <w:pPr>
              <w:rPr>
                <w:b/>
              </w:rPr>
            </w:pPr>
            <w:r>
              <w:rPr>
                <w:b/>
              </w:rPr>
              <w:t>Súčasný stav systému celoživotného poradenstva na Slovensku</w:t>
            </w:r>
          </w:p>
        </w:tc>
      </w:tr>
      <w:tr w:rsidR="005677E4" w:rsidRPr="00432080" w14:paraId="0CADA9B1" w14:textId="77777777" w:rsidTr="00737986">
        <w:tc>
          <w:tcPr>
            <w:tcW w:w="9500" w:type="dxa"/>
            <w:shd w:val="clear" w:color="auto" w:fill="D9E2F3" w:themeFill="accent1" w:themeFillTint="33"/>
          </w:tcPr>
          <w:p w14:paraId="0CADA9AB" w14:textId="72B9F731" w:rsidR="005677E4" w:rsidRDefault="005677E4" w:rsidP="005677E4">
            <w:pPr>
              <w:jc w:val="both"/>
            </w:pPr>
            <w:r w:rsidRPr="001109A9">
              <w:rPr>
                <w:b/>
              </w:rPr>
              <w:t>Základné a vysoké školstvo</w:t>
            </w:r>
            <w:r>
              <w:t xml:space="preserve">: </w:t>
            </w:r>
            <w:r w:rsidR="0065190B">
              <w:t xml:space="preserve">Viaceré predchádzajúce národné projekty viedli k vytvoreniu </w:t>
            </w:r>
            <w:r w:rsidR="00F50321">
              <w:t>využiteľných poradenských nástrojov</w:t>
            </w:r>
            <w:r w:rsidR="00D25315">
              <w:t>,</w:t>
            </w:r>
            <w:r w:rsidR="00B730C4">
              <w:t> </w:t>
            </w:r>
            <w:r w:rsidR="00F50321">
              <w:t>metodík</w:t>
            </w:r>
            <w:r w:rsidR="00D25315">
              <w:t xml:space="preserve"> a informačných materiálov</w:t>
            </w:r>
            <w:r w:rsidR="005D12D8">
              <w:t>.</w:t>
            </w:r>
            <w:r w:rsidR="000C0654">
              <w:t xml:space="preserve"> </w:t>
            </w:r>
            <w:r w:rsidR="005D12D8">
              <w:t>N</w:t>
            </w:r>
            <w:r w:rsidR="00F50321">
              <w:t>e</w:t>
            </w:r>
            <w:r w:rsidR="005D12D8">
              <w:t xml:space="preserve">umožnili ale udržateľné budovanie kapacít a  </w:t>
            </w:r>
            <w:r w:rsidR="00EE188B">
              <w:t>vzhľadom na nízku časovú dotáciu</w:t>
            </w:r>
            <w:r w:rsidR="00DA45FB">
              <w:t xml:space="preserve"> pre výchovného poradcu na základnej a strednej škole a zameranie činnosti centier pedagogicko-psychologického poradenstva a prevencie</w:t>
            </w:r>
            <w:r w:rsidR="00EE188B">
              <w:t xml:space="preserve"> </w:t>
            </w:r>
            <w:r w:rsidR="005D12D8">
              <w:t xml:space="preserve">zostáva dostupnosť kariérového poradenstva </w:t>
            </w:r>
            <w:r w:rsidR="00EE188B">
              <w:t>veľmi nízka</w:t>
            </w:r>
            <w:r w:rsidR="00E210DC">
              <w:t>. Prevažuje prístup zameraný na diagnostiku záujmov a predpokladov žiaka, takmer úplne absentuje kariérová výchova</w:t>
            </w:r>
            <w:r w:rsidR="000C0654">
              <w:t xml:space="preserve">. </w:t>
            </w:r>
            <w:r w:rsidR="001045F3">
              <w:t>Riadenie a metodické usmerňovanie systému je vzhľadom na jeho komplexnosť tiež roztrieštené</w:t>
            </w:r>
            <w:r w:rsidR="00F65CFB">
              <w:t xml:space="preserve">. Na druhej strane, rozvoj duálneho systému </w:t>
            </w:r>
            <w:r w:rsidR="00C4349D">
              <w:t xml:space="preserve">a nedostatok pracovnej sily </w:t>
            </w:r>
            <w:r w:rsidR="00F65CFB">
              <w:t>vedie v niektorých prípadoch k posilneniu spolupráce škôl so zamestnávateľmi</w:t>
            </w:r>
            <w:r w:rsidR="00C4349D">
              <w:t xml:space="preserve"> a rozvoju </w:t>
            </w:r>
            <w:r w:rsidR="006C5574">
              <w:t>veľtrhov práce a búrz informácií (napr. Kam na stredn</w:t>
            </w:r>
            <w:r w:rsidR="00B4417B">
              <w:t>ú</w:t>
            </w:r>
            <w:r w:rsidR="006C5574">
              <w:t>, Kam na vysokú</w:t>
            </w:r>
            <w:r w:rsidR="00F65CFB">
              <w:t>,</w:t>
            </w:r>
            <w:r w:rsidR="006C5574">
              <w:t xml:space="preserve"> Gaudeamus a ďalšie),</w:t>
            </w:r>
            <w:r w:rsidR="00F65CFB">
              <w:t xml:space="preserve"> čo </w:t>
            </w:r>
            <w:r w:rsidR="00B730C4">
              <w:t xml:space="preserve">sa prejavuje vo </w:t>
            </w:r>
            <w:r w:rsidR="00F65CFB">
              <w:t>zvýšen</w:t>
            </w:r>
            <w:r w:rsidR="00B730C4">
              <w:t>í</w:t>
            </w:r>
            <w:r w:rsidR="00F65CFB">
              <w:t xml:space="preserve"> počtu zmysluplných kontaktov žiak</w:t>
            </w:r>
            <w:r w:rsidR="00F90691">
              <w:t>ov</w:t>
            </w:r>
            <w:r w:rsidR="00F65CFB">
              <w:t xml:space="preserve"> zo svetom práce.</w:t>
            </w:r>
          </w:p>
          <w:p w14:paraId="0CADA9AC" w14:textId="20B5B498" w:rsidR="00B30A4F" w:rsidRDefault="00D25315" w:rsidP="005677E4">
            <w:pPr>
              <w:jc w:val="both"/>
            </w:pPr>
            <w:r>
              <w:rPr>
                <w:b/>
              </w:rPr>
              <w:t xml:space="preserve">Vysoké školstvo: </w:t>
            </w:r>
            <w:r w:rsidR="00596D0B" w:rsidRPr="00596D0B">
              <w:t>Záko</w:t>
            </w:r>
            <w:r w:rsidR="00596D0B">
              <w:t xml:space="preserve">n o vysokých školách </w:t>
            </w:r>
            <w:r w:rsidR="00C01762">
              <w:t xml:space="preserve">zavádza povinnosť vysokej školy </w:t>
            </w:r>
            <w:r w:rsidR="00887BC3">
              <w:t>poskytovať informačné a poradenské služby, v praxi ale</w:t>
            </w:r>
            <w:r w:rsidR="00F90691">
              <w:t xml:space="preserve"> sú kariérové centrá prítomné len na niekoľkých vysokých školách</w:t>
            </w:r>
            <w:r w:rsidR="00887BC3">
              <w:t xml:space="preserve"> </w:t>
            </w:r>
            <w:r w:rsidR="006B2A5D">
              <w:t>a ich činnosť je často poddimenzovaná</w:t>
            </w:r>
            <w:r w:rsidR="00887BC3">
              <w:t>.</w:t>
            </w:r>
            <w:r w:rsidR="006B2A5D">
              <w:t xml:space="preserve"> Systém sledovania absolventov</w:t>
            </w:r>
            <w:r w:rsidR="00DE5CD7">
              <w:t xml:space="preserve"> po ukončení štúdia SŠ/VŠ zatiaľ nebol vytvorený, čo neumožňuje hodnot</w:t>
            </w:r>
            <w:r w:rsidR="00597494">
              <w:t>enie</w:t>
            </w:r>
            <w:r w:rsidR="00DE5CD7">
              <w:t xml:space="preserve"> efektivit</w:t>
            </w:r>
            <w:r w:rsidR="00597494">
              <w:t>y rôznych programov a služieb</w:t>
            </w:r>
            <w:r w:rsidR="00B30A4F">
              <w:t>.</w:t>
            </w:r>
          </w:p>
          <w:p w14:paraId="0CADA9AD" w14:textId="77777777" w:rsidR="00D25315" w:rsidRDefault="00B30A4F" w:rsidP="005677E4">
            <w:pPr>
              <w:jc w:val="both"/>
            </w:pPr>
            <w:r>
              <w:rPr>
                <w:b/>
              </w:rPr>
              <w:t>Služby zamestnanosti:</w:t>
            </w:r>
            <w:r w:rsidR="00887BC3">
              <w:t xml:space="preserve"> </w:t>
            </w:r>
            <w:r w:rsidR="00ED1D70">
              <w:t>S</w:t>
            </w:r>
            <w:r w:rsidR="00BA518F">
              <w:t>pusten</w:t>
            </w:r>
            <w:r w:rsidR="00ED1D70">
              <w:t>ie</w:t>
            </w:r>
            <w:r w:rsidR="00BA518F">
              <w:t xml:space="preserve"> viacer</w:t>
            </w:r>
            <w:r w:rsidR="00ED1D70">
              <w:t>ých</w:t>
            </w:r>
            <w:r w:rsidR="00BA518F">
              <w:t xml:space="preserve"> národn</w:t>
            </w:r>
            <w:r w:rsidR="00ED1D70">
              <w:t>ých</w:t>
            </w:r>
            <w:r w:rsidR="00BA518F">
              <w:t xml:space="preserve"> projekt</w:t>
            </w:r>
            <w:r w:rsidR="00ED1D70">
              <w:t>ov zameraných na poskytovanie odborného a kariérového poradenstva</w:t>
            </w:r>
            <w:r w:rsidR="00BA518F">
              <w:t xml:space="preserve"> </w:t>
            </w:r>
            <w:r w:rsidR="00FA42A4">
              <w:t xml:space="preserve">zmiernilo personálnu poddimenzovanosť </w:t>
            </w:r>
            <w:r w:rsidR="00BB28C6">
              <w:t>poradenských služieb</w:t>
            </w:r>
            <w:r w:rsidR="00606AF6">
              <w:t>.</w:t>
            </w:r>
            <w:r w:rsidR="000961B6">
              <w:t xml:space="preserve"> </w:t>
            </w:r>
            <w:r w:rsidR="006B6A78">
              <w:t>Poskytované s</w:t>
            </w:r>
            <w:r w:rsidR="005F597D">
              <w:t>luž</w:t>
            </w:r>
            <w:r w:rsidR="00AF759C">
              <w:t xml:space="preserve">by kariérového poradenstva </w:t>
            </w:r>
            <w:r w:rsidR="006B6A78">
              <w:t xml:space="preserve">sú </w:t>
            </w:r>
            <w:r w:rsidR="00AF759C">
              <w:t xml:space="preserve">zamerané na merateľný rozvoj zručností pre riadenie </w:t>
            </w:r>
            <w:r w:rsidR="006B6A78">
              <w:t>kariéry</w:t>
            </w:r>
            <w:r w:rsidR="002C1C18">
              <w:t>, využívajú moderné multidisciplinárne metódy a  informácie o</w:t>
            </w:r>
            <w:r w:rsidR="0011186F">
              <w:t xml:space="preserve"> miestnom </w:t>
            </w:r>
            <w:r w:rsidR="002C1C18">
              <w:t xml:space="preserve">trhu práce. Služby </w:t>
            </w:r>
            <w:r w:rsidR="00AF759C">
              <w:t xml:space="preserve">sú </w:t>
            </w:r>
            <w:r w:rsidR="002C1C18">
              <w:t xml:space="preserve">výborne </w:t>
            </w:r>
            <w:r w:rsidR="00AF759C">
              <w:t xml:space="preserve">dostupné </w:t>
            </w:r>
            <w:r w:rsidR="00B80860">
              <w:t xml:space="preserve">najmä dlhodobo nezamestnaným občanom. </w:t>
            </w:r>
            <w:r w:rsidR="0011186F">
              <w:t>O</w:t>
            </w:r>
            <w:r w:rsidR="00BB28C6">
              <w:t>tázkou zostáva udržateľnosť</w:t>
            </w:r>
            <w:r w:rsidR="00B80860">
              <w:t xml:space="preserve"> týchto kapacít</w:t>
            </w:r>
            <w:r w:rsidR="00BB28C6">
              <w:t xml:space="preserve">. </w:t>
            </w:r>
          </w:p>
          <w:p w14:paraId="0CADA9AE" w14:textId="77777777" w:rsidR="0011186F" w:rsidRDefault="0011186F" w:rsidP="005677E4">
            <w:pPr>
              <w:jc w:val="both"/>
            </w:pPr>
            <w:r w:rsidRPr="0011186F">
              <w:rPr>
                <w:b/>
              </w:rPr>
              <w:t>Dospelí (pracujúci)</w:t>
            </w:r>
            <w:r>
              <w:t>: Skúsenosť s prevádzkou poradenských centier pre dospelých neviedla k zlepšeniu dostupnosti kariérového poradenstva</w:t>
            </w:r>
            <w:r w:rsidR="00F329EB">
              <w:t>,</w:t>
            </w:r>
            <w:r>
              <w:t xml:space="preserve"> ani k zvýšeniu účasti dospelých na celoživotnom vzdelávaní</w:t>
            </w:r>
            <w:r w:rsidR="004B548F">
              <w:t xml:space="preserve"> a poukázala na finančnú náročnosť </w:t>
            </w:r>
            <w:r w:rsidR="003370E8">
              <w:t xml:space="preserve">udržateľnosti </w:t>
            </w:r>
            <w:r w:rsidR="004B548F">
              <w:t>takéhoto riešenia</w:t>
            </w:r>
            <w:r w:rsidR="003370E8">
              <w:t xml:space="preserve"> (budovanie a udržiavanie novej poradenskej infraštruktúry)</w:t>
            </w:r>
            <w:r>
              <w:t>.</w:t>
            </w:r>
            <w:r w:rsidR="003370E8">
              <w:t xml:space="preserve"> </w:t>
            </w:r>
            <w:r w:rsidR="00460F10">
              <w:t xml:space="preserve">Kariérové poradenstvo pre dospelých dnes je dostupné na úradoch práce, sociálnych vecí a rodiny (zákon o službách zamestnanosti umožňuje poskytovanie </w:t>
            </w:r>
            <w:r w:rsidR="00C1434D">
              <w:t>poradenských služieb „záujemcom o zamestnanie“, ročne to využije ale len niekoľko desiatok občanov), alebo prostredníctvom s</w:t>
            </w:r>
            <w:r w:rsidR="00B624BA">
              <w:t>úkromných poskytovateľov kariérového poradenstva, ktorých počet za posledné roky dynamicky rastie.</w:t>
            </w:r>
          </w:p>
          <w:p w14:paraId="0CADA9AF" w14:textId="77777777" w:rsidR="00B624BA" w:rsidRPr="00810C43" w:rsidRDefault="00030F21" w:rsidP="005677E4">
            <w:pPr>
              <w:jc w:val="both"/>
            </w:pPr>
            <w:r>
              <w:rPr>
                <w:b/>
              </w:rPr>
              <w:t xml:space="preserve">Ľudia </w:t>
            </w:r>
            <w:r w:rsidR="00810C43">
              <w:rPr>
                <w:b/>
              </w:rPr>
              <w:t xml:space="preserve">so znevýhodnením: </w:t>
            </w:r>
            <w:r>
              <w:t>Služby kariérového poradenstva sú ľuďom so znevýhodnením poskytované v rôznych sektoroch sporadicky</w:t>
            </w:r>
            <w:r w:rsidR="00744F8A">
              <w:t xml:space="preserve"> a neexistuje špecifický systém pre tento typ podpory.</w:t>
            </w:r>
          </w:p>
          <w:p w14:paraId="0CADA9B0" w14:textId="77777777" w:rsidR="005677E4" w:rsidRPr="00ED3A91" w:rsidRDefault="005677E4" w:rsidP="00737986">
            <w:pPr>
              <w:jc w:val="both"/>
            </w:pPr>
          </w:p>
        </w:tc>
      </w:tr>
    </w:tbl>
    <w:p w14:paraId="0CADA9B2" w14:textId="77777777" w:rsidR="00405B94" w:rsidRDefault="00405B94" w:rsidP="00664CB3">
      <w:pPr>
        <w:rPr>
          <w:lang w:val="sk-SK"/>
        </w:rPr>
      </w:pPr>
    </w:p>
    <w:p w14:paraId="0CADA9B3" w14:textId="092AF05C" w:rsidR="00E72D84" w:rsidRDefault="00E72D84" w:rsidP="00E72D84">
      <w:pPr>
        <w:jc w:val="both"/>
        <w:rPr>
          <w:lang w:val="sk-SK"/>
        </w:rPr>
      </w:pPr>
      <w:r w:rsidRPr="008B55D1">
        <w:rPr>
          <w:lang w:val="sk-SK"/>
        </w:rPr>
        <w:lastRenderedPageBreak/>
        <w:t>Rámec pre tvorbu tejto kapitoly vychádza z európskych Odporúčaní pre vývoj politík a systémov pre celoživotné poradenstvo</w:t>
      </w:r>
      <w:r w:rsidRPr="008B55D1">
        <w:rPr>
          <w:rStyle w:val="FootnoteReference"/>
          <w:lang w:val="sk-SK"/>
        </w:rPr>
        <w:footnoteReference w:id="10"/>
      </w:r>
      <w:r w:rsidRPr="008B55D1">
        <w:rPr>
          <w:lang w:val="sk-SK"/>
        </w:rPr>
        <w:t>, ktorý definuje 9 prierezových oblastí celoživotného kariérového poradenstva. Takýto prístup bol zvolený s cieľom posilniť medzisektorový a medzirezortný pohľadu na celoživotné kariérové poradenstvo a navrhnúť opatrenia, ktoré vedú k lepšej konzistentnosti a zrozumiteľnosti systému z pohľadu konečného používateľa bez ohľadu na jeho vek, socioekonomický status a konkrétnu životnú situáciu.</w:t>
      </w:r>
      <w:r>
        <w:rPr>
          <w:lang w:val="sk-SK"/>
        </w:rPr>
        <w:t xml:space="preserve"> Týchto 9 oblastí bol</w:t>
      </w:r>
      <w:r w:rsidR="00F329EB">
        <w:rPr>
          <w:lang w:val="sk-SK"/>
        </w:rPr>
        <w:t>o</w:t>
      </w:r>
      <w:r>
        <w:rPr>
          <w:lang w:val="sk-SK"/>
        </w:rPr>
        <w:t xml:space="preserve"> pre zjednodušenie zoskupen</w:t>
      </w:r>
      <w:r w:rsidR="00F329EB">
        <w:rPr>
          <w:lang w:val="sk-SK"/>
        </w:rPr>
        <w:t>ých</w:t>
      </w:r>
      <w:r>
        <w:rPr>
          <w:lang w:val="sk-SK"/>
        </w:rPr>
        <w:t xml:space="preserve"> do troch oblastí, z ktorých vyplývajú aj priority pre ďalšie obdobie:</w:t>
      </w:r>
    </w:p>
    <w:p w14:paraId="0CADA9B4" w14:textId="77777777" w:rsidR="00E72D84" w:rsidRDefault="00E72D84" w:rsidP="00E72D84">
      <w:pPr>
        <w:pStyle w:val="ListParagraph"/>
        <w:numPr>
          <w:ilvl w:val="0"/>
          <w:numId w:val="16"/>
        </w:numPr>
        <w:jc w:val="both"/>
        <w:rPr>
          <w:lang w:val="sk-SK"/>
        </w:rPr>
      </w:pPr>
      <w:r>
        <w:rPr>
          <w:lang w:val="sk-SK"/>
        </w:rPr>
        <w:t>Dostupnosť kariérového poradenstva</w:t>
      </w:r>
    </w:p>
    <w:p w14:paraId="0CADA9B5" w14:textId="77777777" w:rsidR="00E72D84" w:rsidRDefault="00E72D84" w:rsidP="00E72D84">
      <w:pPr>
        <w:pStyle w:val="ListParagraph"/>
        <w:numPr>
          <w:ilvl w:val="0"/>
          <w:numId w:val="16"/>
        </w:numPr>
        <w:jc w:val="both"/>
        <w:rPr>
          <w:lang w:val="sk-SK"/>
        </w:rPr>
      </w:pPr>
      <w:r>
        <w:rPr>
          <w:lang w:val="sk-SK"/>
        </w:rPr>
        <w:t>Kvalita kariérového poradenstva</w:t>
      </w:r>
    </w:p>
    <w:p w14:paraId="0CADA9B6" w14:textId="77777777" w:rsidR="00E72D84" w:rsidRDefault="00E72D84" w:rsidP="00E72D84">
      <w:pPr>
        <w:pStyle w:val="ListParagraph"/>
        <w:numPr>
          <w:ilvl w:val="0"/>
          <w:numId w:val="16"/>
        </w:numPr>
        <w:jc w:val="both"/>
        <w:rPr>
          <w:lang w:val="sk-SK"/>
        </w:rPr>
      </w:pPr>
      <w:r>
        <w:rPr>
          <w:lang w:val="sk-SK"/>
        </w:rPr>
        <w:t>Systémové riadenie</w:t>
      </w:r>
    </w:p>
    <w:p w14:paraId="0CADA9B7" w14:textId="77777777" w:rsidR="0073374C" w:rsidRPr="008B55D1" w:rsidRDefault="00EB4105" w:rsidP="00215632">
      <w:pPr>
        <w:jc w:val="both"/>
        <w:rPr>
          <w:lang w:val="sk-SK"/>
        </w:rPr>
      </w:pPr>
      <w:r>
        <w:rPr>
          <w:lang w:val="sk-SK"/>
        </w:rPr>
        <w:t>Analýza súčasného stavu</w:t>
      </w:r>
      <w:r w:rsidR="00E72D84">
        <w:rPr>
          <w:lang w:val="sk-SK"/>
        </w:rPr>
        <w:t xml:space="preserve"> podľa tohto rámca</w:t>
      </w:r>
      <w:r w:rsidR="00977A0E">
        <w:rPr>
          <w:lang w:val="sk-SK"/>
        </w:rPr>
        <w:t>, vychádzajúca z mapovania existujúcich služieb</w:t>
      </w:r>
      <w:r w:rsidR="00F329EB">
        <w:rPr>
          <w:lang w:val="sk-SK"/>
        </w:rPr>
        <w:t>,</w:t>
      </w:r>
      <w:r>
        <w:rPr>
          <w:lang w:val="sk-SK"/>
        </w:rPr>
        <w:t xml:space="preserve"> je uvedená v nasledujúcej tabuľke:</w:t>
      </w:r>
    </w:p>
    <w:tbl>
      <w:tblPr>
        <w:tblStyle w:val="TableGrid"/>
        <w:tblW w:w="0" w:type="auto"/>
        <w:tblLook w:val="04A0" w:firstRow="1" w:lastRow="0" w:firstColumn="1" w:lastColumn="0" w:noHBand="0" w:noVBand="1"/>
      </w:tblPr>
      <w:tblGrid>
        <w:gridCol w:w="499"/>
        <w:gridCol w:w="1971"/>
        <w:gridCol w:w="1772"/>
        <w:gridCol w:w="1203"/>
        <w:gridCol w:w="1402"/>
        <w:gridCol w:w="1282"/>
        <w:gridCol w:w="1447"/>
      </w:tblGrid>
      <w:tr w:rsidR="004501B5" w:rsidRPr="008B55D1" w14:paraId="0CADA9BF" w14:textId="77777777" w:rsidTr="000D3E4F">
        <w:tc>
          <w:tcPr>
            <w:tcW w:w="499" w:type="dxa"/>
            <w:tcBorders>
              <w:top w:val="nil"/>
              <w:left w:val="nil"/>
              <w:bottom w:val="single" w:sz="4" w:space="0" w:color="auto"/>
              <w:right w:val="single" w:sz="4" w:space="0" w:color="auto"/>
              <w:tl2br w:val="nil"/>
            </w:tcBorders>
          </w:tcPr>
          <w:p w14:paraId="0CADA9B8" w14:textId="77777777" w:rsidR="004501B5" w:rsidRPr="008B55D1" w:rsidRDefault="004501B5" w:rsidP="00664CB3">
            <w:pPr>
              <w:rPr>
                <w:rFonts w:asciiTheme="majorHAnsi" w:hAnsiTheme="majorHAnsi" w:cstheme="majorHAnsi"/>
                <w:sz w:val="18"/>
                <w:szCs w:val="18"/>
              </w:rPr>
            </w:pPr>
          </w:p>
        </w:tc>
        <w:tc>
          <w:tcPr>
            <w:tcW w:w="1971" w:type="dxa"/>
            <w:tcBorders>
              <w:left w:val="single" w:sz="4" w:space="0" w:color="auto"/>
              <w:tl2br w:val="single" w:sz="4" w:space="0" w:color="auto"/>
            </w:tcBorders>
          </w:tcPr>
          <w:p w14:paraId="0CADA9B9" w14:textId="77777777" w:rsidR="004501B5" w:rsidRPr="008B55D1" w:rsidRDefault="004501B5" w:rsidP="00664CB3">
            <w:pPr>
              <w:rPr>
                <w:rFonts w:asciiTheme="majorHAnsi" w:hAnsiTheme="majorHAnsi" w:cstheme="majorHAnsi"/>
                <w:sz w:val="18"/>
                <w:szCs w:val="18"/>
              </w:rPr>
            </w:pPr>
          </w:p>
        </w:tc>
        <w:tc>
          <w:tcPr>
            <w:tcW w:w="1772" w:type="dxa"/>
            <w:shd w:val="clear" w:color="auto" w:fill="D9E2F3" w:themeFill="accent1" w:themeFillTint="33"/>
          </w:tcPr>
          <w:p w14:paraId="0CADA9BA" w14:textId="77777777" w:rsidR="004501B5" w:rsidRPr="008B55D1" w:rsidRDefault="004501B5" w:rsidP="00664CB3">
            <w:pPr>
              <w:rPr>
                <w:rStyle w:val="Strong"/>
                <w:rFonts w:asciiTheme="majorHAnsi" w:hAnsiTheme="majorHAnsi" w:cstheme="majorHAnsi"/>
                <w:sz w:val="18"/>
              </w:rPr>
            </w:pPr>
            <w:r w:rsidRPr="008B55D1">
              <w:rPr>
                <w:rStyle w:val="Strong"/>
                <w:rFonts w:asciiTheme="majorHAnsi" w:hAnsiTheme="majorHAnsi" w:cstheme="majorHAnsi"/>
                <w:sz w:val="18"/>
              </w:rPr>
              <w:t>Základné a stredné školstvo</w:t>
            </w:r>
          </w:p>
        </w:tc>
        <w:tc>
          <w:tcPr>
            <w:tcW w:w="1203" w:type="dxa"/>
            <w:shd w:val="clear" w:color="auto" w:fill="D9E2F3" w:themeFill="accent1" w:themeFillTint="33"/>
          </w:tcPr>
          <w:p w14:paraId="0CADA9BB" w14:textId="77777777" w:rsidR="004501B5" w:rsidRPr="008B55D1" w:rsidRDefault="004501B5" w:rsidP="00664CB3">
            <w:pPr>
              <w:rPr>
                <w:rStyle w:val="Strong"/>
                <w:rFonts w:asciiTheme="majorHAnsi" w:hAnsiTheme="majorHAnsi" w:cstheme="majorHAnsi"/>
                <w:sz w:val="18"/>
              </w:rPr>
            </w:pPr>
            <w:r w:rsidRPr="008B55D1">
              <w:rPr>
                <w:rStyle w:val="Strong"/>
                <w:rFonts w:asciiTheme="majorHAnsi" w:hAnsiTheme="majorHAnsi" w:cstheme="majorHAnsi"/>
                <w:sz w:val="18"/>
              </w:rPr>
              <w:t>Vysoké školstvo</w:t>
            </w:r>
          </w:p>
        </w:tc>
        <w:tc>
          <w:tcPr>
            <w:tcW w:w="1402" w:type="dxa"/>
            <w:shd w:val="clear" w:color="auto" w:fill="D9E2F3" w:themeFill="accent1" w:themeFillTint="33"/>
          </w:tcPr>
          <w:p w14:paraId="0CADA9BC" w14:textId="77777777" w:rsidR="004501B5" w:rsidRPr="008B55D1" w:rsidRDefault="004501B5" w:rsidP="00664CB3">
            <w:pPr>
              <w:rPr>
                <w:rStyle w:val="Strong"/>
                <w:rFonts w:asciiTheme="majorHAnsi" w:hAnsiTheme="majorHAnsi" w:cstheme="majorHAnsi"/>
                <w:sz w:val="18"/>
              </w:rPr>
            </w:pPr>
            <w:r w:rsidRPr="008B55D1">
              <w:rPr>
                <w:rStyle w:val="Strong"/>
                <w:rFonts w:asciiTheme="majorHAnsi" w:hAnsiTheme="majorHAnsi" w:cstheme="majorHAnsi"/>
                <w:sz w:val="18"/>
              </w:rPr>
              <w:t>Služby zamestnanosti</w:t>
            </w:r>
          </w:p>
        </w:tc>
        <w:tc>
          <w:tcPr>
            <w:tcW w:w="1282" w:type="dxa"/>
            <w:shd w:val="clear" w:color="auto" w:fill="D9E2F3" w:themeFill="accent1" w:themeFillTint="33"/>
          </w:tcPr>
          <w:p w14:paraId="0CADA9BD" w14:textId="77777777" w:rsidR="004501B5" w:rsidRPr="008B55D1" w:rsidRDefault="004501B5" w:rsidP="00664CB3">
            <w:pPr>
              <w:rPr>
                <w:rStyle w:val="Strong"/>
                <w:rFonts w:asciiTheme="majorHAnsi" w:hAnsiTheme="majorHAnsi" w:cstheme="majorHAnsi"/>
                <w:sz w:val="18"/>
              </w:rPr>
            </w:pPr>
            <w:r w:rsidRPr="008B55D1">
              <w:rPr>
                <w:rStyle w:val="Strong"/>
                <w:rFonts w:asciiTheme="majorHAnsi" w:hAnsiTheme="majorHAnsi" w:cstheme="majorHAnsi"/>
                <w:sz w:val="18"/>
              </w:rPr>
              <w:t>Dospelí (pracujúci</w:t>
            </w:r>
            <w:r>
              <w:rPr>
                <w:rStyle w:val="Strong"/>
                <w:rFonts w:asciiTheme="majorHAnsi" w:hAnsiTheme="majorHAnsi" w:cstheme="majorHAnsi"/>
                <w:sz w:val="18"/>
              </w:rPr>
              <w:t>)</w:t>
            </w:r>
          </w:p>
        </w:tc>
        <w:tc>
          <w:tcPr>
            <w:tcW w:w="1447" w:type="dxa"/>
            <w:shd w:val="clear" w:color="auto" w:fill="D9E2F3" w:themeFill="accent1" w:themeFillTint="33"/>
          </w:tcPr>
          <w:p w14:paraId="0CADA9BE" w14:textId="77777777" w:rsidR="004501B5" w:rsidRPr="008B55D1" w:rsidRDefault="004501B5" w:rsidP="00664CB3">
            <w:pPr>
              <w:rPr>
                <w:rStyle w:val="Strong"/>
                <w:rFonts w:asciiTheme="majorHAnsi" w:hAnsiTheme="majorHAnsi" w:cstheme="majorHAnsi"/>
                <w:sz w:val="18"/>
              </w:rPr>
            </w:pPr>
            <w:r w:rsidRPr="008B55D1">
              <w:rPr>
                <w:rStyle w:val="Strong"/>
                <w:rFonts w:asciiTheme="majorHAnsi" w:hAnsiTheme="majorHAnsi" w:cstheme="majorHAnsi"/>
                <w:sz w:val="18"/>
              </w:rPr>
              <w:t>Ľudia so znevýhodnením</w:t>
            </w:r>
          </w:p>
        </w:tc>
      </w:tr>
      <w:tr w:rsidR="004501B5" w:rsidRPr="008B55D1" w14:paraId="0CADA9C7" w14:textId="77777777" w:rsidTr="000D3E4F">
        <w:tc>
          <w:tcPr>
            <w:tcW w:w="499" w:type="dxa"/>
            <w:vMerge w:val="restart"/>
            <w:shd w:val="clear" w:color="auto" w:fill="44546A" w:themeFill="text2"/>
            <w:textDirection w:val="btLr"/>
          </w:tcPr>
          <w:p w14:paraId="0CADA9C0" w14:textId="511C63FB" w:rsidR="004501B5" w:rsidRPr="00F329EB" w:rsidRDefault="00215632" w:rsidP="00215632">
            <w:pPr>
              <w:ind w:left="113" w:right="113"/>
              <w:rPr>
                <w:rStyle w:val="Strong"/>
                <w:rFonts w:asciiTheme="majorHAnsi" w:hAnsiTheme="majorHAnsi" w:cstheme="majorHAnsi"/>
                <w:i/>
                <w:color w:val="FFFFFF" w:themeColor="background1"/>
                <w:szCs w:val="18"/>
                <w:lang w:val="en-US"/>
              </w:rPr>
            </w:pPr>
            <w:r>
              <w:rPr>
                <w:rStyle w:val="Strong"/>
                <w:rFonts w:asciiTheme="majorHAnsi" w:hAnsiTheme="majorHAnsi" w:cstheme="majorHAnsi"/>
                <w:i/>
                <w:color w:val="FFFFFF" w:themeColor="background1"/>
                <w:szCs w:val="18"/>
              </w:rPr>
              <w:t xml:space="preserve">I. </w:t>
            </w:r>
            <w:r w:rsidR="00F329EB" w:rsidRPr="00F329EB">
              <w:rPr>
                <w:rStyle w:val="Strong"/>
                <w:rFonts w:asciiTheme="majorHAnsi" w:hAnsiTheme="majorHAnsi" w:cstheme="majorHAnsi"/>
                <w:i/>
                <w:color w:val="FFFFFF" w:themeColor="background1"/>
                <w:szCs w:val="18"/>
              </w:rPr>
              <w:t>DOSTUPNOSŤ</w:t>
            </w:r>
          </w:p>
        </w:tc>
        <w:tc>
          <w:tcPr>
            <w:tcW w:w="1971" w:type="dxa"/>
            <w:shd w:val="clear" w:color="auto" w:fill="D9E2F3" w:themeFill="accent1" w:themeFillTint="33"/>
          </w:tcPr>
          <w:p w14:paraId="0CADA9C1" w14:textId="77777777" w:rsidR="004501B5" w:rsidRPr="008B55D1" w:rsidRDefault="004501B5" w:rsidP="002D2FA5">
            <w:pPr>
              <w:rPr>
                <w:rStyle w:val="Strong"/>
                <w:rFonts w:asciiTheme="majorHAnsi" w:hAnsiTheme="majorHAnsi" w:cstheme="majorHAnsi"/>
                <w:sz w:val="18"/>
                <w:szCs w:val="18"/>
              </w:rPr>
            </w:pPr>
            <w:r w:rsidRPr="008B55D1">
              <w:rPr>
                <w:rStyle w:val="Strong"/>
                <w:rFonts w:asciiTheme="majorHAnsi" w:hAnsiTheme="majorHAnsi" w:cstheme="majorHAnsi"/>
                <w:sz w:val="18"/>
                <w:szCs w:val="18"/>
              </w:rPr>
              <w:t>Prístup k poradenstvu</w:t>
            </w:r>
          </w:p>
        </w:tc>
        <w:tc>
          <w:tcPr>
            <w:tcW w:w="1772" w:type="dxa"/>
            <w:vAlign w:val="center"/>
          </w:tcPr>
          <w:p w14:paraId="0CADA9C2" w14:textId="77777777" w:rsidR="004501B5" w:rsidRDefault="004501B5" w:rsidP="002D2FA5">
            <w:pPr>
              <w:jc w:val="center"/>
              <w:rPr>
                <w:rFonts w:asciiTheme="majorHAnsi" w:hAnsiTheme="majorHAnsi" w:cstheme="majorHAnsi"/>
                <w:sz w:val="18"/>
                <w:szCs w:val="18"/>
              </w:rPr>
            </w:pPr>
            <w:r>
              <w:rPr>
                <w:rFonts w:asciiTheme="majorHAnsi" w:hAnsiTheme="majorHAnsi" w:cstheme="majorHAnsi"/>
                <w:sz w:val="18"/>
                <w:szCs w:val="18"/>
                <w:lang w:val="en-US"/>
              </w:rPr>
              <w:t>*</w:t>
            </w:r>
          </w:p>
        </w:tc>
        <w:tc>
          <w:tcPr>
            <w:tcW w:w="1203" w:type="dxa"/>
            <w:vAlign w:val="center"/>
          </w:tcPr>
          <w:p w14:paraId="0CADA9C3" w14:textId="77777777" w:rsidR="004501B5" w:rsidRDefault="004501B5" w:rsidP="002D2FA5">
            <w:pPr>
              <w:jc w:val="center"/>
              <w:rPr>
                <w:rFonts w:asciiTheme="majorHAnsi" w:hAnsiTheme="majorHAnsi" w:cstheme="majorHAnsi"/>
                <w:sz w:val="18"/>
                <w:szCs w:val="18"/>
              </w:rPr>
            </w:pPr>
            <w:r>
              <w:rPr>
                <w:rFonts w:asciiTheme="majorHAnsi" w:hAnsiTheme="majorHAnsi" w:cstheme="majorHAnsi"/>
                <w:sz w:val="18"/>
                <w:szCs w:val="18"/>
              </w:rPr>
              <w:t>*</w:t>
            </w:r>
          </w:p>
        </w:tc>
        <w:tc>
          <w:tcPr>
            <w:tcW w:w="1402" w:type="dxa"/>
            <w:vAlign w:val="center"/>
          </w:tcPr>
          <w:p w14:paraId="0CADA9C4" w14:textId="77777777" w:rsidR="004501B5" w:rsidRDefault="004501B5" w:rsidP="002D2FA5">
            <w:pPr>
              <w:jc w:val="center"/>
              <w:rPr>
                <w:rFonts w:asciiTheme="majorHAnsi" w:hAnsiTheme="majorHAnsi" w:cstheme="majorHAnsi"/>
                <w:sz w:val="18"/>
                <w:szCs w:val="18"/>
              </w:rPr>
            </w:pPr>
            <w:r>
              <w:rPr>
                <w:rFonts w:asciiTheme="majorHAnsi" w:hAnsiTheme="majorHAnsi" w:cstheme="majorHAnsi"/>
                <w:sz w:val="18"/>
                <w:szCs w:val="18"/>
                <w:lang w:val="en-US"/>
              </w:rPr>
              <w:t>**</w:t>
            </w:r>
          </w:p>
        </w:tc>
        <w:tc>
          <w:tcPr>
            <w:tcW w:w="1282" w:type="dxa"/>
            <w:vAlign w:val="center"/>
          </w:tcPr>
          <w:p w14:paraId="0CADA9C5" w14:textId="77777777" w:rsidR="004501B5" w:rsidRDefault="004501B5" w:rsidP="002D2FA5">
            <w:pPr>
              <w:jc w:val="center"/>
              <w:rPr>
                <w:rFonts w:asciiTheme="majorHAnsi" w:hAnsiTheme="majorHAnsi" w:cstheme="majorHAnsi"/>
                <w:sz w:val="18"/>
                <w:szCs w:val="18"/>
              </w:rPr>
            </w:pPr>
            <w:r>
              <w:rPr>
                <w:rFonts w:asciiTheme="majorHAnsi" w:hAnsiTheme="majorHAnsi" w:cstheme="majorHAnsi"/>
                <w:sz w:val="18"/>
                <w:szCs w:val="18"/>
                <w:lang w:val="en-US"/>
              </w:rPr>
              <w:t>*</w:t>
            </w:r>
          </w:p>
        </w:tc>
        <w:tc>
          <w:tcPr>
            <w:tcW w:w="1447" w:type="dxa"/>
            <w:vAlign w:val="center"/>
          </w:tcPr>
          <w:p w14:paraId="0CADA9C6" w14:textId="77777777" w:rsidR="004501B5" w:rsidRDefault="004501B5" w:rsidP="002D2FA5">
            <w:pPr>
              <w:jc w:val="center"/>
              <w:rPr>
                <w:rFonts w:asciiTheme="majorHAnsi" w:hAnsiTheme="majorHAnsi" w:cstheme="majorHAnsi"/>
                <w:sz w:val="18"/>
                <w:szCs w:val="18"/>
              </w:rPr>
            </w:pPr>
            <w:r>
              <w:rPr>
                <w:rFonts w:asciiTheme="majorHAnsi" w:hAnsiTheme="majorHAnsi" w:cstheme="majorHAnsi"/>
                <w:sz w:val="18"/>
                <w:szCs w:val="18"/>
              </w:rPr>
              <w:t>*</w:t>
            </w:r>
          </w:p>
        </w:tc>
      </w:tr>
      <w:tr w:rsidR="004501B5" w:rsidRPr="008B55D1" w14:paraId="0CADA9CF" w14:textId="77777777" w:rsidTr="000D3E4F">
        <w:tc>
          <w:tcPr>
            <w:tcW w:w="499" w:type="dxa"/>
            <w:vMerge/>
            <w:shd w:val="clear" w:color="auto" w:fill="44546A" w:themeFill="text2"/>
            <w:textDirection w:val="btLr"/>
          </w:tcPr>
          <w:p w14:paraId="0CADA9C8" w14:textId="77777777" w:rsidR="004501B5" w:rsidRPr="00744F8A" w:rsidRDefault="004501B5" w:rsidP="009909DC">
            <w:pPr>
              <w:ind w:left="113" w:right="113"/>
              <w:rPr>
                <w:rStyle w:val="Strong"/>
                <w:rFonts w:asciiTheme="majorHAnsi" w:hAnsiTheme="majorHAnsi" w:cstheme="majorHAnsi"/>
                <w:i/>
                <w:color w:val="FFFFFF" w:themeColor="background1"/>
                <w:szCs w:val="18"/>
              </w:rPr>
            </w:pPr>
          </w:p>
        </w:tc>
        <w:tc>
          <w:tcPr>
            <w:tcW w:w="1971" w:type="dxa"/>
            <w:shd w:val="clear" w:color="auto" w:fill="D9E2F3" w:themeFill="accent1" w:themeFillTint="33"/>
          </w:tcPr>
          <w:p w14:paraId="0CADA9C9" w14:textId="77777777" w:rsidR="004501B5" w:rsidRPr="008B55D1" w:rsidRDefault="004501B5" w:rsidP="002D2FA5">
            <w:pPr>
              <w:rPr>
                <w:rFonts w:asciiTheme="majorHAnsi" w:hAnsiTheme="majorHAnsi" w:cstheme="majorHAnsi"/>
                <w:sz w:val="18"/>
                <w:szCs w:val="18"/>
              </w:rPr>
            </w:pPr>
            <w:r w:rsidRPr="008B55D1">
              <w:rPr>
                <w:rStyle w:val="Strong"/>
                <w:rFonts w:asciiTheme="majorHAnsi" w:hAnsiTheme="majorHAnsi" w:cstheme="majorHAnsi"/>
                <w:sz w:val="18"/>
                <w:szCs w:val="18"/>
              </w:rPr>
              <w:t>Financovanie poradenstva</w:t>
            </w:r>
          </w:p>
        </w:tc>
        <w:tc>
          <w:tcPr>
            <w:tcW w:w="1772" w:type="dxa"/>
            <w:vAlign w:val="center"/>
          </w:tcPr>
          <w:p w14:paraId="0CADA9CA" w14:textId="77777777" w:rsidR="004501B5" w:rsidRPr="00025EEB" w:rsidRDefault="004501B5" w:rsidP="002D2FA5">
            <w:pPr>
              <w:jc w:val="center"/>
              <w:rPr>
                <w:rFonts w:asciiTheme="majorHAnsi" w:hAnsiTheme="majorHAnsi" w:cstheme="majorHAnsi"/>
                <w:sz w:val="18"/>
                <w:szCs w:val="18"/>
                <w:lang w:val="en-US"/>
              </w:rPr>
            </w:pPr>
            <w:r>
              <w:rPr>
                <w:rFonts w:asciiTheme="majorHAnsi" w:hAnsiTheme="majorHAnsi" w:cstheme="majorHAnsi"/>
                <w:sz w:val="18"/>
                <w:szCs w:val="18"/>
              </w:rPr>
              <w:t>0</w:t>
            </w:r>
          </w:p>
        </w:tc>
        <w:tc>
          <w:tcPr>
            <w:tcW w:w="1203" w:type="dxa"/>
            <w:vAlign w:val="center"/>
          </w:tcPr>
          <w:p w14:paraId="0CADA9CB" w14:textId="77777777" w:rsidR="004501B5" w:rsidRPr="008B55D1" w:rsidRDefault="004501B5" w:rsidP="002D2FA5">
            <w:pPr>
              <w:jc w:val="center"/>
              <w:rPr>
                <w:rFonts w:asciiTheme="majorHAnsi" w:hAnsiTheme="majorHAnsi" w:cstheme="majorHAnsi"/>
                <w:sz w:val="18"/>
                <w:szCs w:val="18"/>
              </w:rPr>
            </w:pPr>
            <w:r>
              <w:rPr>
                <w:rFonts w:asciiTheme="majorHAnsi" w:hAnsiTheme="majorHAnsi" w:cstheme="majorHAnsi"/>
                <w:sz w:val="18"/>
                <w:szCs w:val="18"/>
              </w:rPr>
              <w:t>0</w:t>
            </w:r>
          </w:p>
        </w:tc>
        <w:tc>
          <w:tcPr>
            <w:tcW w:w="1402" w:type="dxa"/>
            <w:vAlign w:val="center"/>
          </w:tcPr>
          <w:p w14:paraId="0CADA9CC" w14:textId="77777777" w:rsidR="004501B5" w:rsidRPr="00025EEB" w:rsidRDefault="004501B5" w:rsidP="002D2FA5">
            <w:pPr>
              <w:jc w:val="center"/>
              <w:rPr>
                <w:rFonts w:asciiTheme="majorHAnsi" w:hAnsiTheme="majorHAnsi" w:cstheme="majorHAnsi"/>
                <w:sz w:val="18"/>
                <w:szCs w:val="18"/>
                <w:lang w:val="en-US"/>
              </w:rPr>
            </w:pPr>
            <w:r>
              <w:rPr>
                <w:rFonts w:asciiTheme="majorHAnsi" w:hAnsiTheme="majorHAnsi" w:cstheme="majorHAnsi"/>
                <w:sz w:val="18"/>
                <w:szCs w:val="18"/>
              </w:rPr>
              <w:t>*</w:t>
            </w:r>
          </w:p>
        </w:tc>
        <w:tc>
          <w:tcPr>
            <w:tcW w:w="1282" w:type="dxa"/>
            <w:vAlign w:val="center"/>
          </w:tcPr>
          <w:p w14:paraId="0CADA9CD" w14:textId="77777777" w:rsidR="004501B5" w:rsidRPr="008B55D1" w:rsidRDefault="004501B5" w:rsidP="002D2FA5">
            <w:pPr>
              <w:jc w:val="center"/>
              <w:rPr>
                <w:rFonts w:asciiTheme="majorHAnsi" w:hAnsiTheme="majorHAnsi" w:cstheme="majorHAnsi"/>
                <w:sz w:val="18"/>
                <w:szCs w:val="18"/>
              </w:rPr>
            </w:pPr>
            <w:r>
              <w:rPr>
                <w:rFonts w:asciiTheme="majorHAnsi" w:hAnsiTheme="majorHAnsi" w:cstheme="majorHAnsi"/>
                <w:sz w:val="18"/>
                <w:szCs w:val="18"/>
              </w:rPr>
              <w:t>0</w:t>
            </w:r>
          </w:p>
        </w:tc>
        <w:tc>
          <w:tcPr>
            <w:tcW w:w="1447" w:type="dxa"/>
            <w:vAlign w:val="center"/>
          </w:tcPr>
          <w:p w14:paraId="0CADA9CE" w14:textId="77777777" w:rsidR="004501B5" w:rsidRPr="008B55D1" w:rsidRDefault="004501B5" w:rsidP="002D2FA5">
            <w:pPr>
              <w:jc w:val="center"/>
              <w:rPr>
                <w:rFonts w:asciiTheme="majorHAnsi" w:hAnsiTheme="majorHAnsi" w:cstheme="majorHAnsi"/>
                <w:sz w:val="18"/>
                <w:szCs w:val="18"/>
              </w:rPr>
            </w:pPr>
            <w:r>
              <w:rPr>
                <w:rFonts w:asciiTheme="majorHAnsi" w:hAnsiTheme="majorHAnsi" w:cstheme="majorHAnsi"/>
                <w:sz w:val="18"/>
                <w:szCs w:val="18"/>
              </w:rPr>
              <w:t>0</w:t>
            </w:r>
          </w:p>
        </w:tc>
      </w:tr>
      <w:tr w:rsidR="000D3E4F" w:rsidRPr="008B55D1" w14:paraId="0CADA9D7" w14:textId="77777777" w:rsidTr="000D3E4F">
        <w:tc>
          <w:tcPr>
            <w:tcW w:w="499" w:type="dxa"/>
            <w:vMerge/>
            <w:shd w:val="clear" w:color="auto" w:fill="44546A" w:themeFill="text2"/>
            <w:textDirection w:val="btLr"/>
          </w:tcPr>
          <w:p w14:paraId="0CADA9D0" w14:textId="77777777" w:rsidR="000D3E4F" w:rsidRPr="00744F8A" w:rsidRDefault="000D3E4F" w:rsidP="000D3E4F">
            <w:pPr>
              <w:ind w:left="113" w:right="113"/>
              <w:rPr>
                <w:rStyle w:val="Strong"/>
                <w:rFonts w:asciiTheme="majorHAnsi" w:hAnsiTheme="majorHAnsi" w:cstheme="majorHAnsi"/>
                <w:i/>
                <w:color w:val="FFFFFF" w:themeColor="background1"/>
                <w:szCs w:val="18"/>
              </w:rPr>
            </w:pPr>
          </w:p>
        </w:tc>
        <w:tc>
          <w:tcPr>
            <w:tcW w:w="1971" w:type="dxa"/>
            <w:shd w:val="clear" w:color="auto" w:fill="D9E2F3" w:themeFill="accent1" w:themeFillTint="33"/>
          </w:tcPr>
          <w:p w14:paraId="0CADA9D1" w14:textId="77777777" w:rsidR="000D3E4F" w:rsidRPr="008B55D1" w:rsidRDefault="000D3E4F" w:rsidP="000D3E4F">
            <w:pPr>
              <w:rPr>
                <w:rStyle w:val="Strong"/>
                <w:rFonts w:asciiTheme="majorHAnsi" w:hAnsiTheme="majorHAnsi" w:cstheme="majorHAnsi"/>
                <w:sz w:val="18"/>
                <w:szCs w:val="18"/>
              </w:rPr>
            </w:pPr>
            <w:r w:rsidRPr="008B55D1">
              <w:rPr>
                <w:rStyle w:val="Strong"/>
                <w:rFonts w:asciiTheme="majorHAnsi" w:hAnsiTheme="majorHAnsi" w:cstheme="majorHAnsi"/>
                <w:sz w:val="18"/>
                <w:szCs w:val="18"/>
              </w:rPr>
              <w:t>Dostupnosť a kvalita kariér</w:t>
            </w:r>
            <w:r>
              <w:rPr>
                <w:rStyle w:val="Strong"/>
                <w:rFonts w:asciiTheme="majorHAnsi" w:hAnsiTheme="majorHAnsi" w:cstheme="majorHAnsi"/>
                <w:sz w:val="18"/>
                <w:szCs w:val="18"/>
              </w:rPr>
              <w:t>ový</w:t>
            </w:r>
            <w:r w:rsidRPr="008B55D1">
              <w:rPr>
                <w:rStyle w:val="Strong"/>
                <w:rFonts w:asciiTheme="majorHAnsi" w:hAnsiTheme="majorHAnsi" w:cstheme="majorHAnsi"/>
                <w:sz w:val="18"/>
                <w:szCs w:val="18"/>
              </w:rPr>
              <w:t>ch informácií</w:t>
            </w:r>
            <w:r w:rsidRPr="008B55D1">
              <w:rPr>
                <w:rStyle w:val="apple-converted-space"/>
                <w:rFonts w:asciiTheme="majorHAnsi" w:hAnsiTheme="majorHAnsi" w:cstheme="majorHAnsi"/>
                <w:b/>
                <w:bCs/>
                <w:sz w:val="18"/>
                <w:szCs w:val="18"/>
              </w:rPr>
              <w:t> </w:t>
            </w:r>
          </w:p>
        </w:tc>
        <w:tc>
          <w:tcPr>
            <w:tcW w:w="1772" w:type="dxa"/>
            <w:vAlign w:val="center"/>
          </w:tcPr>
          <w:p w14:paraId="0CADA9D2" w14:textId="77777777" w:rsidR="000D3E4F"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03" w:type="dxa"/>
            <w:vAlign w:val="center"/>
          </w:tcPr>
          <w:p w14:paraId="0CADA9D3" w14:textId="77777777" w:rsidR="000D3E4F"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402" w:type="dxa"/>
            <w:vAlign w:val="center"/>
          </w:tcPr>
          <w:p w14:paraId="0CADA9D4" w14:textId="77777777" w:rsidR="000D3E4F"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82" w:type="dxa"/>
            <w:vAlign w:val="center"/>
          </w:tcPr>
          <w:p w14:paraId="0CADA9D5" w14:textId="72B22A13" w:rsidR="000D3E4F"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bookmarkStart w:id="0" w:name="_GoBack"/>
            <w:bookmarkEnd w:id="0"/>
          </w:p>
        </w:tc>
        <w:tc>
          <w:tcPr>
            <w:tcW w:w="1447" w:type="dxa"/>
            <w:vAlign w:val="center"/>
          </w:tcPr>
          <w:p w14:paraId="0CADA9D6" w14:textId="77777777" w:rsidR="000D3E4F"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r>
      <w:tr w:rsidR="000D3E4F" w:rsidRPr="008B55D1" w14:paraId="0CADA9DF" w14:textId="77777777" w:rsidTr="00865E38">
        <w:trPr>
          <w:trHeight w:val="830"/>
        </w:trPr>
        <w:tc>
          <w:tcPr>
            <w:tcW w:w="499" w:type="dxa"/>
            <w:vMerge/>
            <w:shd w:val="clear" w:color="auto" w:fill="44546A" w:themeFill="text2"/>
            <w:textDirection w:val="btLr"/>
          </w:tcPr>
          <w:p w14:paraId="0CADA9D8" w14:textId="77777777" w:rsidR="000D3E4F" w:rsidRPr="00744F8A" w:rsidRDefault="000D3E4F" w:rsidP="000D3E4F">
            <w:pPr>
              <w:ind w:left="113" w:right="113"/>
              <w:rPr>
                <w:rStyle w:val="Strong"/>
                <w:rFonts w:asciiTheme="majorHAnsi" w:hAnsiTheme="majorHAnsi" w:cstheme="majorHAnsi"/>
                <w:i/>
                <w:color w:val="FFFFFF" w:themeColor="background1"/>
                <w:szCs w:val="18"/>
              </w:rPr>
            </w:pPr>
          </w:p>
        </w:tc>
        <w:tc>
          <w:tcPr>
            <w:tcW w:w="1971" w:type="dxa"/>
            <w:shd w:val="clear" w:color="auto" w:fill="D9E2F3" w:themeFill="accent1" w:themeFillTint="33"/>
          </w:tcPr>
          <w:p w14:paraId="0CADA9D9" w14:textId="77777777" w:rsidR="000D3E4F" w:rsidRPr="008B55D1" w:rsidRDefault="000D3E4F" w:rsidP="000D3E4F">
            <w:pPr>
              <w:rPr>
                <w:rFonts w:asciiTheme="majorHAnsi" w:hAnsiTheme="majorHAnsi" w:cstheme="majorHAnsi"/>
                <w:sz w:val="18"/>
                <w:szCs w:val="18"/>
              </w:rPr>
            </w:pPr>
            <w:r w:rsidRPr="008B55D1">
              <w:rPr>
                <w:rStyle w:val="Strong"/>
                <w:rFonts w:asciiTheme="majorHAnsi" w:hAnsiTheme="majorHAnsi" w:cstheme="majorHAnsi"/>
                <w:sz w:val="18"/>
                <w:szCs w:val="18"/>
              </w:rPr>
              <w:t>Informačné a komunikačné technológie</w:t>
            </w:r>
          </w:p>
        </w:tc>
        <w:tc>
          <w:tcPr>
            <w:tcW w:w="1772" w:type="dxa"/>
            <w:vAlign w:val="center"/>
          </w:tcPr>
          <w:p w14:paraId="0CADA9DA" w14:textId="77777777" w:rsidR="000D3E4F" w:rsidRPr="00025EEB" w:rsidRDefault="000D3E4F" w:rsidP="000D3E4F">
            <w:pPr>
              <w:jc w:val="center"/>
              <w:rPr>
                <w:rFonts w:asciiTheme="majorHAnsi" w:hAnsiTheme="majorHAnsi" w:cstheme="majorHAnsi"/>
                <w:sz w:val="18"/>
                <w:szCs w:val="18"/>
                <w:lang w:val="en-US"/>
              </w:rPr>
            </w:pPr>
            <w:r>
              <w:rPr>
                <w:rFonts w:asciiTheme="majorHAnsi" w:hAnsiTheme="majorHAnsi" w:cstheme="majorHAnsi"/>
                <w:sz w:val="18"/>
                <w:szCs w:val="18"/>
              </w:rPr>
              <w:t>*</w:t>
            </w:r>
          </w:p>
        </w:tc>
        <w:tc>
          <w:tcPr>
            <w:tcW w:w="1203" w:type="dxa"/>
            <w:vAlign w:val="center"/>
          </w:tcPr>
          <w:p w14:paraId="0CADA9DB"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c>
          <w:tcPr>
            <w:tcW w:w="1402" w:type="dxa"/>
            <w:vAlign w:val="center"/>
          </w:tcPr>
          <w:p w14:paraId="0CADA9DC" w14:textId="77777777" w:rsidR="000D3E4F" w:rsidRPr="00D44416" w:rsidRDefault="000D3E4F" w:rsidP="000D3E4F">
            <w:pPr>
              <w:jc w:val="center"/>
              <w:rPr>
                <w:rFonts w:asciiTheme="majorHAnsi" w:hAnsiTheme="majorHAnsi" w:cstheme="majorHAnsi"/>
                <w:sz w:val="18"/>
                <w:szCs w:val="18"/>
                <w:lang w:val="en-US"/>
              </w:rPr>
            </w:pPr>
            <w:r>
              <w:rPr>
                <w:rFonts w:asciiTheme="majorHAnsi" w:hAnsiTheme="majorHAnsi" w:cstheme="majorHAnsi"/>
                <w:sz w:val="18"/>
                <w:szCs w:val="18"/>
                <w:lang w:val="en-US"/>
              </w:rPr>
              <w:t>**</w:t>
            </w:r>
          </w:p>
        </w:tc>
        <w:tc>
          <w:tcPr>
            <w:tcW w:w="1282" w:type="dxa"/>
            <w:vAlign w:val="center"/>
          </w:tcPr>
          <w:p w14:paraId="0CADA9DD" w14:textId="77777777" w:rsidR="000D3E4F" w:rsidRPr="00CF02DB" w:rsidRDefault="000D3E4F" w:rsidP="000D3E4F">
            <w:pPr>
              <w:jc w:val="center"/>
              <w:rPr>
                <w:rFonts w:asciiTheme="majorHAnsi" w:hAnsiTheme="majorHAnsi" w:cstheme="majorHAnsi"/>
                <w:sz w:val="18"/>
                <w:szCs w:val="18"/>
                <w:lang w:val="en-US"/>
              </w:rPr>
            </w:pPr>
            <w:r>
              <w:rPr>
                <w:rFonts w:asciiTheme="majorHAnsi" w:hAnsiTheme="majorHAnsi" w:cstheme="majorHAnsi"/>
                <w:sz w:val="18"/>
                <w:szCs w:val="18"/>
              </w:rPr>
              <w:t>*</w:t>
            </w:r>
          </w:p>
        </w:tc>
        <w:tc>
          <w:tcPr>
            <w:tcW w:w="1447" w:type="dxa"/>
            <w:vAlign w:val="center"/>
          </w:tcPr>
          <w:p w14:paraId="0CADA9DE"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r>
      <w:tr w:rsidR="000D3E4F" w:rsidRPr="008B55D1" w14:paraId="0CADA9E7" w14:textId="77777777" w:rsidTr="000D3E4F">
        <w:tc>
          <w:tcPr>
            <w:tcW w:w="499" w:type="dxa"/>
            <w:vMerge w:val="restart"/>
            <w:shd w:val="clear" w:color="auto" w:fill="44546A" w:themeFill="text2"/>
            <w:textDirection w:val="btLr"/>
          </w:tcPr>
          <w:p w14:paraId="0CADA9E0" w14:textId="77777777" w:rsidR="000D3E4F" w:rsidRPr="00744F8A" w:rsidRDefault="000D3E4F" w:rsidP="000D3E4F">
            <w:pPr>
              <w:ind w:left="113" w:right="113"/>
              <w:rPr>
                <w:rStyle w:val="Strong"/>
                <w:rFonts w:asciiTheme="majorHAnsi" w:hAnsiTheme="majorHAnsi" w:cstheme="majorHAnsi"/>
                <w:i/>
                <w:color w:val="FFFFFF" w:themeColor="background1"/>
                <w:szCs w:val="18"/>
              </w:rPr>
            </w:pPr>
            <w:r w:rsidRPr="00744F8A">
              <w:rPr>
                <w:rStyle w:val="Strong"/>
                <w:rFonts w:asciiTheme="majorHAnsi" w:hAnsiTheme="majorHAnsi" w:cstheme="majorHAnsi"/>
                <w:i/>
                <w:color w:val="FFFFFF" w:themeColor="background1"/>
                <w:szCs w:val="18"/>
              </w:rPr>
              <w:t>II. KVALITA</w:t>
            </w:r>
          </w:p>
        </w:tc>
        <w:tc>
          <w:tcPr>
            <w:tcW w:w="1971" w:type="dxa"/>
            <w:shd w:val="clear" w:color="auto" w:fill="D9E2F3" w:themeFill="accent1" w:themeFillTint="33"/>
          </w:tcPr>
          <w:p w14:paraId="0CADA9E1" w14:textId="77777777" w:rsidR="000D3E4F" w:rsidRPr="008B55D1" w:rsidRDefault="000D3E4F" w:rsidP="000D3E4F">
            <w:pPr>
              <w:rPr>
                <w:rFonts w:asciiTheme="majorHAnsi" w:hAnsiTheme="majorHAnsi" w:cstheme="majorHAnsi"/>
                <w:sz w:val="18"/>
                <w:szCs w:val="18"/>
              </w:rPr>
            </w:pPr>
            <w:r w:rsidRPr="008B55D1">
              <w:rPr>
                <w:rStyle w:val="Strong"/>
                <w:rFonts w:asciiTheme="majorHAnsi" w:hAnsiTheme="majorHAnsi" w:cstheme="majorHAnsi"/>
                <w:sz w:val="18"/>
                <w:szCs w:val="18"/>
              </w:rPr>
              <w:t>Vzdelávanie a kvalifikácia poradcov a riadiacich pracovníkov</w:t>
            </w:r>
          </w:p>
        </w:tc>
        <w:tc>
          <w:tcPr>
            <w:tcW w:w="1772" w:type="dxa"/>
            <w:vAlign w:val="center"/>
          </w:tcPr>
          <w:p w14:paraId="0CADA9E2"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03" w:type="dxa"/>
            <w:vAlign w:val="center"/>
          </w:tcPr>
          <w:p w14:paraId="0CADA9E3"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402" w:type="dxa"/>
            <w:vAlign w:val="center"/>
          </w:tcPr>
          <w:p w14:paraId="0CADA9E4"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82" w:type="dxa"/>
            <w:vAlign w:val="center"/>
          </w:tcPr>
          <w:p w14:paraId="0CADA9E5" w14:textId="27E40C22"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447" w:type="dxa"/>
            <w:vAlign w:val="center"/>
          </w:tcPr>
          <w:p w14:paraId="0CADA9E6"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r>
      <w:tr w:rsidR="000D3E4F" w:rsidRPr="008B55D1" w14:paraId="0CADA9EF" w14:textId="77777777" w:rsidTr="000D3E4F">
        <w:tc>
          <w:tcPr>
            <w:tcW w:w="499" w:type="dxa"/>
            <w:vMerge/>
            <w:shd w:val="clear" w:color="auto" w:fill="44546A" w:themeFill="text2"/>
            <w:textDirection w:val="btLr"/>
          </w:tcPr>
          <w:p w14:paraId="0CADA9E8" w14:textId="77777777" w:rsidR="000D3E4F" w:rsidRPr="00744F8A" w:rsidRDefault="000D3E4F" w:rsidP="000D3E4F">
            <w:pPr>
              <w:ind w:left="113" w:right="113"/>
              <w:rPr>
                <w:rStyle w:val="Strong"/>
                <w:rFonts w:asciiTheme="majorHAnsi" w:hAnsiTheme="majorHAnsi" w:cstheme="majorHAnsi"/>
                <w:i/>
                <w:color w:val="FFFFFF" w:themeColor="background1"/>
                <w:szCs w:val="18"/>
              </w:rPr>
            </w:pPr>
          </w:p>
        </w:tc>
        <w:tc>
          <w:tcPr>
            <w:tcW w:w="1971" w:type="dxa"/>
            <w:shd w:val="clear" w:color="auto" w:fill="D9E2F3" w:themeFill="accent1" w:themeFillTint="33"/>
          </w:tcPr>
          <w:p w14:paraId="0CADA9E9" w14:textId="77777777" w:rsidR="000D3E4F" w:rsidRPr="008B55D1" w:rsidRDefault="000D3E4F" w:rsidP="000D3E4F">
            <w:pPr>
              <w:rPr>
                <w:rFonts w:asciiTheme="majorHAnsi" w:hAnsiTheme="majorHAnsi" w:cstheme="majorHAnsi"/>
                <w:sz w:val="18"/>
                <w:szCs w:val="18"/>
              </w:rPr>
            </w:pPr>
            <w:r w:rsidRPr="008B55D1">
              <w:rPr>
                <w:rStyle w:val="Strong"/>
                <w:rFonts w:asciiTheme="majorHAnsi" w:hAnsiTheme="majorHAnsi" w:cstheme="majorHAnsi"/>
                <w:sz w:val="18"/>
                <w:szCs w:val="18"/>
              </w:rPr>
              <w:t>Rozvoj zručností pre riadenie kariéry</w:t>
            </w:r>
          </w:p>
        </w:tc>
        <w:tc>
          <w:tcPr>
            <w:tcW w:w="1772" w:type="dxa"/>
            <w:vAlign w:val="center"/>
          </w:tcPr>
          <w:p w14:paraId="0CADA9EA"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lang w:val="en-US"/>
              </w:rPr>
              <w:t>*</w:t>
            </w:r>
          </w:p>
        </w:tc>
        <w:tc>
          <w:tcPr>
            <w:tcW w:w="1203" w:type="dxa"/>
            <w:vAlign w:val="center"/>
          </w:tcPr>
          <w:p w14:paraId="0CADA9EB"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402" w:type="dxa"/>
            <w:vAlign w:val="center"/>
          </w:tcPr>
          <w:p w14:paraId="0CADA9EC"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lang w:val="en-US"/>
              </w:rPr>
              <w:t>**</w:t>
            </w:r>
          </w:p>
        </w:tc>
        <w:tc>
          <w:tcPr>
            <w:tcW w:w="1282" w:type="dxa"/>
            <w:vAlign w:val="center"/>
          </w:tcPr>
          <w:p w14:paraId="0CADA9ED"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c>
          <w:tcPr>
            <w:tcW w:w="1447" w:type="dxa"/>
            <w:vAlign w:val="center"/>
          </w:tcPr>
          <w:p w14:paraId="0CADA9EE"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r>
      <w:tr w:rsidR="000D3E4F" w:rsidRPr="008B55D1" w14:paraId="0CADA9F7" w14:textId="77777777" w:rsidTr="000D3E4F">
        <w:tc>
          <w:tcPr>
            <w:tcW w:w="499" w:type="dxa"/>
            <w:vMerge/>
            <w:shd w:val="clear" w:color="auto" w:fill="44546A" w:themeFill="text2"/>
            <w:textDirection w:val="btLr"/>
          </w:tcPr>
          <w:p w14:paraId="0CADA9F0" w14:textId="77777777" w:rsidR="000D3E4F" w:rsidRPr="00744F8A" w:rsidRDefault="000D3E4F" w:rsidP="000D3E4F">
            <w:pPr>
              <w:ind w:left="113" w:right="113"/>
              <w:rPr>
                <w:rStyle w:val="Strong"/>
                <w:rFonts w:asciiTheme="majorHAnsi" w:hAnsiTheme="majorHAnsi" w:cstheme="majorHAnsi"/>
                <w:i/>
                <w:color w:val="FFFFFF" w:themeColor="background1"/>
                <w:szCs w:val="18"/>
              </w:rPr>
            </w:pPr>
          </w:p>
        </w:tc>
        <w:tc>
          <w:tcPr>
            <w:tcW w:w="1971" w:type="dxa"/>
            <w:shd w:val="clear" w:color="auto" w:fill="D9E2F3" w:themeFill="accent1" w:themeFillTint="33"/>
          </w:tcPr>
          <w:p w14:paraId="0CADA9F1" w14:textId="77777777" w:rsidR="000D3E4F" w:rsidRPr="008B55D1" w:rsidRDefault="000D3E4F" w:rsidP="000D3E4F">
            <w:pPr>
              <w:rPr>
                <w:rFonts w:asciiTheme="majorHAnsi" w:hAnsiTheme="majorHAnsi" w:cstheme="majorHAnsi"/>
                <w:sz w:val="18"/>
                <w:szCs w:val="18"/>
              </w:rPr>
            </w:pPr>
            <w:r w:rsidRPr="008B55D1">
              <w:rPr>
                <w:rStyle w:val="Strong"/>
                <w:rFonts w:asciiTheme="majorHAnsi" w:hAnsiTheme="majorHAnsi" w:cstheme="majorHAnsi"/>
                <w:sz w:val="18"/>
                <w:szCs w:val="18"/>
              </w:rPr>
              <w:t>Riadenie kvality</w:t>
            </w:r>
          </w:p>
        </w:tc>
        <w:tc>
          <w:tcPr>
            <w:tcW w:w="1772" w:type="dxa"/>
            <w:vAlign w:val="center"/>
          </w:tcPr>
          <w:p w14:paraId="0CADA9F2"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03" w:type="dxa"/>
            <w:vAlign w:val="center"/>
          </w:tcPr>
          <w:p w14:paraId="0CADA9F3"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c>
          <w:tcPr>
            <w:tcW w:w="1402" w:type="dxa"/>
            <w:vAlign w:val="center"/>
          </w:tcPr>
          <w:p w14:paraId="0CADA9F4"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82" w:type="dxa"/>
            <w:vAlign w:val="center"/>
          </w:tcPr>
          <w:p w14:paraId="0CADA9F5"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447" w:type="dxa"/>
            <w:vAlign w:val="center"/>
          </w:tcPr>
          <w:p w14:paraId="0CADA9F6"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r>
      <w:tr w:rsidR="000D3E4F" w:rsidRPr="008B55D1" w14:paraId="0CADA9FF" w14:textId="77777777" w:rsidTr="000D3E4F">
        <w:tc>
          <w:tcPr>
            <w:tcW w:w="499" w:type="dxa"/>
            <w:vMerge w:val="restart"/>
            <w:shd w:val="clear" w:color="auto" w:fill="44546A" w:themeFill="text2"/>
            <w:textDirection w:val="btLr"/>
          </w:tcPr>
          <w:p w14:paraId="0CADA9F8" w14:textId="77777777" w:rsidR="000D3E4F" w:rsidRPr="00744F8A" w:rsidRDefault="000D3E4F" w:rsidP="000D3E4F">
            <w:pPr>
              <w:ind w:left="113" w:right="113"/>
              <w:rPr>
                <w:rStyle w:val="Strong"/>
                <w:rFonts w:asciiTheme="majorHAnsi" w:hAnsiTheme="majorHAnsi" w:cstheme="majorHAnsi"/>
                <w:i/>
                <w:color w:val="FFFFFF" w:themeColor="background1"/>
                <w:szCs w:val="18"/>
              </w:rPr>
            </w:pPr>
            <w:r w:rsidRPr="00744F8A">
              <w:rPr>
                <w:rStyle w:val="Strong"/>
                <w:rFonts w:asciiTheme="majorHAnsi" w:hAnsiTheme="majorHAnsi" w:cstheme="majorHAnsi"/>
                <w:i/>
                <w:color w:val="FFFFFF" w:themeColor="background1"/>
                <w:szCs w:val="18"/>
              </w:rPr>
              <w:t>III. RIADENIE</w:t>
            </w:r>
          </w:p>
        </w:tc>
        <w:tc>
          <w:tcPr>
            <w:tcW w:w="1971" w:type="dxa"/>
            <w:shd w:val="clear" w:color="auto" w:fill="D9E2F3" w:themeFill="accent1" w:themeFillTint="33"/>
          </w:tcPr>
          <w:p w14:paraId="0CADA9F9" w14:textId="77777777" w:rsidR="000D3E4F" w:rsidRPr="008B55D1" w:rsidRDefault="000D3E4F" w:rsidP="000D3E4F">
            <w:pPr>
              <w:rPr>
                <w:rFonts w:asciiTheme="majorHAnsi" w:hAnsiTheme="majorHAnsi" w:cstheme="majorHAnsi"/>
                <w:sz w:val="18"/>
                <w:szCs w:val="18"/>
              </w:rPr>
            </w:pPr>
            <w:r w:rsidRPr="008B55D1">
              <w:rPr>
                <w:rStyle w:val="Strong"/>
                <w:rFonts w:asciiTheme="majorHAnsi" w:hAnsiTheme="majorHAnsi" w:cstheme="majorHAnsi"/>
                <w:sz w:val="18"/>
                <w:szCs w:val="18"/>
              </w:rPr>
              <w:t>Strategické vedenie: kooperácia a koordinácia</w:t>
            </w:r>
          </w:p>
        </w:tc>
        <w:tc>
          <w:tcPr>
            <w:tcW w:w="1772" w:type="dxa"/>
            <w:vAlign w:val="center"/>
          </w:tcPr>
          <w:p w14:paraId="0CADA9FA"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03" w:type="dxa"/>
            <w:vAlign w:val="center"/>
          </w:tcPr>
          <w:p w14:paraId="0CADA9FB"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c>
          <w:tcPr>
            <w:tcW w:w="1402" w:type="dxa"/>
            <w:vAlign w:val="center"/>
          </w:tcPr>
          <w:p w14:paraId="0CADA9FC"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82" w:type="dxa"/>
            <w:vAlign w:val="center"/>
          </w:tcPr>
          <w:p w14:paraId="0CADA9FD"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447" w:type="dxa"/>
            <w:vAlign w:val="center"/>
          </w:tcPr>
          <w:p w14:paraId="0CADA9FE"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r>
      <w:tr w:rsidR="000D3E4F" w:rsidRPr="008B55D1" w14:paraId="0CADAA07" w14:textId="77777777" w:rsidTr="000D3E4F">
        <w:tc>
          <w:tcPr>
            <w:tcW w:w="499" w:type="dxa"/>
            <w:vMerge/>
            <w:shd w:val="clear" w:color="auto" w:fill="44546A" w:themeFill="text2"/>
          </w:tcPr>
          <w:p w14:paraId="0CADAA00" w14:textId="77777777" w:rsidR="000D3E4F" w:rsidRPr="008B55D1" w:rsidRDefault="000D3E4F" w:rsidP="000D3E4F">
            <w:pPr>
              <w:rPr>
                <w:rStyle w:val="Strong"/>
                <w:rFonts w:asciiTheme="majorHAnsi" w:hAnsiTheme="majorHAnsi" w:cstheme="majorHAnsi"/>
                <w:sz w:val="18"/>
                <w:szCs w:val="18"/>
              </w:rPr>
            </w:pPr>
          </w:p>
        </w:tc>
        <w:tc>
          <w:tcPr>
            <w:tcW w:w="1971" w:type="dxa"/>
            <w:shd w:val="clear" w:color="auto" w:fill="D9E2F3" w:themeFill="accent1" w:themeFillTint="33"/>
          </w:tcPr>
          <w:p w14:paraId="0CADAA01" w14:textId="77777777" w:rsidR="000D3E4F" w:rsidRPr="008B55D1" w:rsidRDefault="000D3E4F" w:rsidP="000D3E4F">
            <w:pPr>
              <w:rPr>
                <w:rFonts w:asciiTheme="majorHAnsi" w:hAnsiTheme="majorHAnsi" w:cstheme="majorHAnsi"/>
                <w:sz w:val="18"/>
                <w:szCs w:val="18"/>
              </w:rPr>
            </w:pPr>
            <w:r w:rsidRPr="008B55D1">
              <w:rPr>
                <w:rStyle w:val="Strong"/>
                <w:rFonts w:asciiTheme="majorHAnsi" w:hAnsiTheme="majorHAnsi" w:cstheme="majorHAnsi"/>
                <w:sz w:val="18"/>
                <w:szCs w:val="18"/>
              </w:rPr>
              <w:t>Hodnotenie efektivity celoživotného poradenstva</w:t>
            </w:r>
          </w:p>
        </w:tc>
        <w:tc>
          <w:tcPr>
            <w:tcW w:w="1772" w:type="dxa"/>
            <w:vAlign w:val="center"/>
          </w:tcPr>
          <w:p w14:paraId="0CADAA02"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c>
          <w:tcPr>
            <w:tcW w:w="1203" w:type="dxa"/>
            <w:vAlign w:val="center"/>
          </w:tcPr>
          <w:p w14:paraId="0CADAA03"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c>
          <w:tcPr>
            <w:tcW w:w="1402" w:type="dxa"/>
            <w:vAlign w:val="center"/>
          </w:tcPr>
          <w:p w14:paraId="0CADAA04"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w:t>
            </w:r>
          </w:p>
        </w:tc>
        <w:tc>
          <w:tcPr>
            <w:tcW w:w="1282" w:type="dxa"/>
            <w:vAlign w:val="center"/>
          </w:tcPr>
          <w:p w14:paraId="0CADAA05" w14:textId="77777777" w:rsidR="000D3E4F" w:rsidRPr="00D71CA1" w:rsidRDefault="000D3E4F" w:rsidP="000D3E4F">
            <w:pPr>
              <w:jc w:val="center"/>
              <w:rPr>
                <w:rFonts w:asciiTheme="majorHAnsi" w:hAnsiTheme="majorHAnsi" w:cstheme="majorHAnsi"/>
                <w:sz w:val="18"/>
                <w:szCs w:val="18"/>
                <w:lang w:val="en-US"/>
              </w:rPr>
            </w:pPr>
            <w:r>
              <w:rPr>
                <w:rFonts w:asciiTheme="majorHAnsi" w:hAnsiTheme="majorHAnsi" w:cstheme="majorHAnsi"/>
                <w:sz w:val="18"/>
                <w:szCs w:val="18"/>
              </w:rPr>
              <w:t>0</w:t>
            </w:r>
          </w:p>
        </w:tc>
        <w:tc>
          <w:tcPr>
            <w:tcW w:w="1447" w:type="dxa"/>
            <w:vAlign w:val="center"/>
          </w:tcPr>
          <w:p w14:paraId="0CADAA06" w14:textId="77777777" w:rsidR="000D3E4F" w:rsidRPr="008B55D1" w:rsidRDefault="000D3E4F" w:rsidP="000D3E4F">
            <w:pPr>
              <w:jc w:val="center"/>
              <w:rPr>
                <w:rFonts w:asciiTheme="majorHAnsi" w:hAnsiTheme="majorHAnsi" w:cstheme="majorHAnsi"/>
                <w:sz w:val="18"/>
                <w:szCs w:val="18"/>
              </w:rPr>
            </w:pPr>
            <w:r>
              <w:rPr>
                <w:rFonts w:asciiTheme="majorHAnsi" w:hAnsiTheme="majorHAnsi" w:cstheme="majorHAnsi"/>
                <w:sz w:val="18"/>
                <w:szCs w:val="18"/>
              </w:rPr>
              <w:t>0</w:t>
            </w:r>
          </w:p>
        </w:tc>
      </w:tr>
    </w:tbl>
    <w:p w14:paraId="0CADAA08" w14:textId="77777777" w:rsidR="00DD766A" w:rsidRPr="00EB4105" w:rsidRDefault="00373B7A" w:rsidP="00977A0E">
      <w:pPr>
        <w:spacing w:before="60" w:after="0"/>
        <w:rPr>
          <w:i/>
          <w:lang w:val="sk-SK"/>
        </w:rPr>
      </w:pPr>
      <w:r>
        <w:rPr>
          <w:i/>
          <w:lang w:val="sk-SK"/>
        </w:rPr>
        <w:t xml:space="preserve"> </w:t>
      </w:r>
      <w:r w:rsidR="006818FF" w:rsidRPr="00EB4105">
        <w:rPr>
          <w:i/>
          <w:lang w:val="sk-SK"/>
        </w:rPr>
        <w:t>0</w:t>
      </w:r>
      <w:r w:rsidR="001D730A" w:rsidRPr="00EB4105">
        <w:rPr>
          <w:i/>
          <w:lang w:val="sk-SK"/>
        </w:rPr>
        <w:t xml:space="preserve"> </w:t>
      </w:r>
      <w:r>
        <w:rPr>
          <w:i/>
          <w:lang w:val="sk-SK"/>
        </w:rPr>
        <w:tab/>
      </w:r>
      <w:r w:rsidR="001D730A" w:rsidRPr="00EB4105">
        <w:rPr>
          <w:i/>
          <w:lang w:val="sk-SK"/>
        </w:rPr>
        <w:t>- absencia opatrení</w:t>
      </w:r>
      <w:r w:rsidR="00E72D84">
        <w:rPr>
          <w:i/>
          <w:lang w:val="sk-SK"/>
        </w:rPr>
        <w:t>,</w:t>
      </w:r>
      <w:r w:rsidR="00D44416" w:rsidRPr="00EB4105">
        <w:rPr>
          <w:i/>
          <w:lang w:val="sk-SK"/>
        </w:rPr>
        <w:t> individuálnych prípadov</w:t>
      </w:r>
      <w:r w:rsidR="00B80CEE" w:rsidRPr="00B80CEE">
        <w:rPr>
          <w:i/>
          <w:lang w:val="sk-SK"/>
        </w:rPr>
        <w:t xml:space="preserve"> </w:t>
      </w:r>
      <w:r w:rsidR="00B80CEE">
        <w:rPr>
          <w:i/>
          <w:lang w:val="sk-SK"/>
        </w:rPr>
        <w:t xml:space="preserve">alebo </w:t>
      </w:r>
      <w:r w:rsidR="00D44416" w:rsidRPr="00EB4105">
        <w:rPr>
          <w:i/>
          <w:lang w:val="sk-SK"/>
        </w:rPr>
        <w:t>projektov</w:t>
      </w:r>
      <w:r w:rsidR="00B80CEE">
        <w:rPr>
          <w:i/>
          <w:lang w:val="sk-SK"/>
        </w:rPr>
        <w:t xml:space="preserve"> s výraznejším dopadom</w:t>
      </w:r>
    </w:p>
    <w:p w14:paraId="0CADAA09" w14:textId="77777777" w:rsidR="009B0325" w:rsidRPr="00EB4105" w:rsidRDefault="00373B7A" w:rsidP="00CB6052">
      <w:pPr>
        <w:spacing w:after="0"/>
        <w:rPr>
          <w:i/>
          <w:lang w:val="sk-SK"/>
        </w:rPr>
      </w:pPr>
      <w:r>
        <w:rPr>
          <w:i/>
          <w:lang w:val="sk-SK"/>
        </w:rPr>
        <w:t xml:space="preserve"> </w:t>
      </w:r>
      <w:r w:rsidR="009B0325" w:rsidRPr="00EB4105">
        <w:rPr>
          <w:i/>
          <w:lang w:val="sk-SK"/>
        </w:rPr>
        <w:t xml:space="preserve">* </w:t>
      </w:r>
      <w:r>
        <w:rPr>
          <w:i/>
          <w:lang w:val="sk-SK"/>
        </w:rPr>
        <w:tab/>
      </w:r>
      <w:r w:rsidR="009B0325" w:rsidRPr="00EB4105">
        <w:rPr>
          <w:i/>
          <w:lang w:val="sk-SK"/>
        </w:rPr>
        <w:t xml:space="preserve">- </w:t>
      </w:r>
      <w:r w:rsidR="00D44416" w:rsidRPr="00EB4105">
        <w:rPr>
          <w:i/>
          <w:lang w:val="sk-SK"/>
        </w:rPr>
        <w:t xml:space="preserve">bez systémových opatrení, </w:t>
      </w:r>
      <w:r w:rsidR="00225F88" w:rsidRPr="00EB4105">
        <w:rPr>
          <w:i/>
          <w:lang w:val="sk-SK"/>
        </w:rPr>
        <w:t>existencia individuálnych prípadov</w:t>
      </w:r>
      <w:r w:rsidR="00B80CEE">
        <w:rPr>
          <w:i/>
          <w:lang w:val="sk-SK"/>
        </w:rPr>
        <w:t xml:space="preserve"> alebo </w:t>
      </w:r>
      <w:r w:rsidR="00D44416" w:rsidRPr="00EB4105">
        <w:rPr>
          <w:i/>
          <w:lang w:val="sk-SK"/>
        </w:rPr>
        <w:t>projektov</w:t>
      </w:r>
    </w:p>
    <w:p w14:paraId="0CADAA0A" w14:textId="77777777" w:rsidR="001D730A" w:rsidRPr="00EB4105" w:rsidRDefault="001D730A" w:rsidP="00CB6052">
      <w:pPr>
        <w:spacing w:after="0"/>
        <w:rPr>
          <w:i/>
          <w:lang w:val="sk-SK"/>
        </w:rPr>
      </w:pPr>
      <w:r w:rsidRPr="00EB4105">
        <w:rPr>
          <w:i/>
          <w:lang w:val="sk-SK"/>
        </w:rPr>
        <w:t xml:space="preserve">** </w:t>
      </w:r>
      <w:r w:rsidR="00373B7A">
        <w:rPr>
          <w:i/>
          <w:lang w:val="sk-SK"/>
        </w:rPr>
        <w:tab/>
      </w:r>
      <w:r w:rsidRPr="00EB4105">
        <w:rPr>
          <w:i/>
          <w:lang w:val="sk-SK"/>
        </w:rPr>
        <w:t xml:space="preserve">- čiastočné </w:t>
      </w:r>
      <w:r w:rsidR="00A93DEF" w:rsidRPr="00EB4105">
        <w:rPr>
          <w:i/>
          <w:lang w:val="sk-SK"/>
        </w:rPr>
        <w:t xml:space="preserve">systémové </w:t>
      </w:r>
      <w:r w:rsidR="008B55D1" w:rsidRPr="00EB4105">
        <w:rPr>
          <w:i/>
          <w:lang w:val="sk-SK"/>
        </w:rPr>
        <w:t>opatrenia</w:t>
      </w:r>
      <w:r w:rsidR="00025EEB" w:rsidRPr="00EB4105">
        <w:rPr>
          <w:i/>
          <w:lang w:val="sk-SK"/>
        </w:rPr>
        <w:t>, dosiahnutý určitý pokrok</w:t>
      </w:r>
      <w:r w:rsidR="00E54273">
        <w:rPr>
          <w:i/>
          <w:lang w:val="sk-SK"/>
        </w:rPr>
        <w:t xml:space="preserve"> alebo</w:t>
      </w:r>
      <w:r w:rsidR="00025EEB" w:rsidRPr="00EB4105">
        <w:rPr>
          <w:i/>
          <w:lang w:val="sk-SK"/>
        </w:rPr>
        <w:t xml:space="preserve"> opatrenia v</w:t>
      </w:r>
      <w:r w:rsidR="00E54273">
        <w:rPr>
          <w:i/>
          <w:lang w:val="sk-SK"/>
        </w:rPr>
        <w:t xml:space="preserve"> procese </w:t>
      </w:r>
      <w:r w:rsidR="00025EEB" w:rsidRPr="00EB4105">
        <w:rPr>
          <w:i/>
          <w:lang w:val="sk-SK"/>
        </w:rPr>
        <w:t>tvorb</w:t>
      </w:r>
      <w:r w:rsidR="00E54273">
        <w:rPr>
          <w:i/>
          <w:lang w:val="sk-SK"/>
        </w:rPr>
        <w:t>y</w:t>
      </w:r>
    </w:p>
    <w:p w14:paraId="0CADAA0B" w14:textId="77777777" w:rsidR="001D730A" w:rsidRPr="00EB4105" w:rsidRDefault="001D730A" w:rsidP="00CB6052">
      <w:pPr>
        <w:spacing w:after="0"/>
        <w:rPr>
          <w:i/>
          <w:lang w:val="sk-SK"/>
        </w:rPr>
      </w:pPr>
      <w:r w:rsidRPr="00EB4105">
        <w:rPr>
          <w:i/>
          <w:lang w:val="sk-SK"/>
        </w:rPr>
        <w:t>***</w:t>
      </w:r>
      <w:r w:rsidR="008B55D1" w:rsidRPr="00EB4105">
        <w:rPr>
          <w:i/>
          <w:lang w:val="sk-SK"/>
        </w:rPr>
        <w:t xml:space="preserve"> </w:t>
      </w:r>
      <w:r w:rsidR="00373B7A">
        <w:rPr>
          <w:i/>
          <w:lang w:val="sk-SK"/>
        </w:rPr>
        <w:tab/>
      </w:r>
      <w:r w:rsidR="008B55D1" w:rsidRPr="00EB4105">
        <w:rPr>
          <w:i/>
          <w:lang w:val="sk-SK"/>
        </w:rPr>
        <w:t xml:space="preserve">- </w:t>
      </w:r>
      <w:r w:rsidR="00CF02DB" w:rsidRPr="00EB4105">
        <w:rPr>
          <w:i/>
          <w:lang w:val="sk-SK"/>
        </w:rPr>
        <w:t>systémové opatrenia porovnateľné s</w:t>
      </w:r>
      <w:r w:rsidR="00E54273">
        <w:rPr>
          <w:i/>
          <w:lang w:val="sk-SK"/>
        </w:rPr>
        <w:t> </w:t>
      </w:r>
      <w:r w:rsidR="00CF02DB" w:rsidRPr="00EB4105">
        <w:rPr>
          <w:i/>
          <w:lang w:val="sk-SK"/>
        </w:rPr>
        <w:t>európsk</w:t>
      </w:r>
      <w:r w:rsidR="00E54273">
        <w:rPr>
          <w:i/>
          <w:lang w:val="sk-SK"/>
        </w:rPr>
        <w:t>ym štandardom</w:t>
      </w:r>
    </w:p>
    <w:p w14:paraId="0CADAA0C" w14:textId="77777777" w:rsidR="001A064B" w:rsidRPr="00DD150B" w:rsidRDefault="001A064B">
      <w:pPr>
        <w:rPr>
          <w:color w:val="FF0000"/>
          <w:lang w:val="sk-SK"/>
        </w:rPr>
      </w:pPr>
      <w:r>
        <w:rPr>
          <w:color w:val="FF0000"/>
          <w:lang w:val="sk-SK"/>
        </w:rPr>
        <w:br w:type="page"/>
      </w:r>
    </w:p>
    <w:p w14:paraId="0CADAA0D" w14:textId="77777777" w:rsidR="001A064B" w:rsidRDefault="001A064B" w:rsidP="001A064B">
      <w:pPr>
        <w:pStyle w:val="Heading2"/>
        <w:rPr>
          <w:lang w:val="sk-SK"/>
        </w:rPr>
      </w:pPr>
      <w:r>
        <w:rPr>
          <w:lang w:val="sk-SK"/>
        </w:rPr>
        <w:lastRenderedPageBreak/>
        <w:t>Priority pre rozvoj systému celoživotného kariérového poradenstva</w:t>
      </w:r>
    </w:p>
    <w:p w14:paraId="0CADAA0E" w14:textId="77777777" w:rsidR="00C25AA6" w:rsidRDefault="00C25AA6" w:rsidP="00C25AA6">
      <w:pPr>
        <w:pStyle w:val="Heading3"/>
        <w:rPr>
          <w:lang w:val="sk-SK"/>
        </w:rPr>
      </w:pPr>
    </w:p>
    <w:p w14:paraId="0CADAA0F" w14:textId="77777777" w:rsidR="00815AB7" w:rsidRPr="00C25AA6" w:rsidRDefault="001762A8" w:rsidP="00C25AA6">
      <w:pPr>
        <w:pStyle w:val="Heading3"/>
        <w:rPr>
          <w:lang w:val="sk-SK"/>
        </w:rPr>
      </w:pPr>
      <w:r>
        <w:rPr>
          <w:lang w:val="sk-SK"/>
        </w:rPr>
        <w:t>PRIORITA 1: ZVÝŠIŤ DOSTUPNOSŤ KARIÉROVÉHO PORADENSTVA</w:t>
      </w:r>
    </w:p>
    <w:p w14:paraId="0CADAA10" w14:textId="77777777" w:rsidR="00822342" w:rsidRDefault="00822342" w:rsidP="00132C26">
      <w:pPr>
        <w:pStyle w:val="Heading4"/>
        <w:rPr>
          <w:lang w:val="sk-SK"/>
        </w:rPr>
      </w:pPr>
    </w:p>
    <w:p w14:paraId="0CADAA11" w14:textId="77777777" w:rsidR="00132C26" w:rsidRPr="00132C26" w:rsidRDefault="00CE4E42" w:rsidP="00132C26">
      <w:pPr>
        <w:pStyle w:val="Heading4"/>
        <w:rPr>
          <w:lang w:val="sk-SK"/>
        </w:rPr>
      </w:pPr>
      <w:r>
        <w:rPr>
          <w:lang w:val="sk-SK"/>
        </w:rPr>
        <w:t>1.</w:t>
      </w:r>
      <w:r w:rsidR="00822342">
        <w:rPr>
          <w:lang w:val="sk-SK"/>
        </w:rPr>
        <w:t>1</w:t>
      </w:r>
      <w:r>
        <w:rPr>
          <w:lang w:val="sk-SK"/>
        </w:rPr>
        <w:t xml:space="preserve"> </w:t>
      </w:r>
      <w:r w:rsidR="00132C26" w:rsidRPr="00132C26">
        <w:rPr>
          <w:lang w:val="sk-SK"/>
        </w:rPr>
        <w:t xml:space="preserve">Prístup </w:t>
      </w:r>
      <w:r w:rsidR="00A639F2">
        <w:rPr>
          <w:lang w:val="sk-SK"/>
        </w:rPr>
        <w:t xml:space="preserve">a financovanie </w:t>
      </w:r>
      <w:r w:rsidR="00C95E86">
        <w:rPr>
          <w:lang w:val="sk-SK"/>
        </w:rPr>
        <w:t>celoživotné</w:t>
      </w:r>
      <w:r w:rsidR="00A639F2">
        <w:rPr>
          <w:lang w:val="sk-SK"/>
        </w:rPr>
        <w:t>ho</w:t>
      </w:r>
      <w:r w:rsidR="00C95E86">
        <w:rPr>
          <w:lang w:val="sk-SK"/>
        </w:rPr>
        <w:t xml:space="preserve"> kariérové</w:t>
      </w:r>
      <w:r w:rsidR="00A639F2">
        <w:rPr>
          <w:lang w:val="sk-SK"/>
        </w:rPr>
        <w:t>ho</w:t>
      </w:r>
      <w:r w:rsidR="00C95E86">
        <w:rPr>
          <w:lang w:val="sk-SK"/>
        </w:rPr>
        <w:t xml:space="preserve"> </w:t>
      </w:r>
      <w:r w:rsidR="00132C26" w:rsidRPr="00132C26">
        <w:rPr>
          <w:lang w:val="sk-SK"/>
        </w:rPr>
        <w:t>poradenstv</w:t>
      </w:r>
      <w:r w:rsidR="00A639F2">
        <w:rPr>
          <w:lang w:val="sk-SK"/>
        </w:rPr>
        <w:t>a</w:t>
      </w:r>
    </w:p>
    <w:p w14:paraId="0CADAA12" w14:textId="77777777" w:rsidR="00D544A6" w:rsidRPr="00264143" w:rsidRDefault="00D544A6" w:rsidP="00264143">
      <w:pPr>
        <w:jc w:val="both"/>
        <w:rPr>
          <w:lang w:val="sk-SK"/>
        </w:rPr>
      </w:pPr>
      <w:r w:rsidRPr="008B55D1">
        <w:rPr>
          <w:lang w:val="sk-SK"/>
        </w:rPr>
        <w:t>Poradenské služby by mali byť ľahko dostupné</w:t>
      </w:r>
      <w:r>
        <w:rPr>
          <w:lang w:val="sk-SK"/>
        </w:rPr>
        <w:t xml:space="preserve"> všetkým obyvateľom na celom území v najvhodnejšej a najzrozumiteľnejšej forme</w:t>
      </w:r>
      <w:r w:rsidRPr="008B55D1">
        <w:rPr>
          <w:lang w:val="sk-SK"/>
        </w:rPr>
        <w:t xml:space="preserve"> (samoobslužné</w:t>
      </w:r>
      <w:r w:rsidRPr="00941E9A">
        <w:rPr>
          <w:lang w:val="sk-SK"/>
        </w:rPr>
        <w:t xml:space="preserve"> </w:t>
      </w:r>
      <w:r w:rsidRPr="008B55D1">
        <w:rPr>
          <w:lang w:val="sk-SK"/>
        </w:rPr>
        <w:t xml:space="preserve">služby, individuálne </w:t>
      </w:r>
      <w:r>
        <w:rPr>
          <w:lang w:val="sk-SK"/>
        </w:rPr>
        <w:t>poradenstvo</w:t>
      </w:r>
      <w:r w:rsidRPr="008B55D1">
        <w:rPr>
          <w:lang w:val="sk-SK"/>
        </w:rPr>
        <w:t>, distančné poradenstvo, kariérové vzdelávanie</w:t>
      </w:r>
      <w:r w:rsidR="00AE580E">
        <w:rPr>
          <w:lang w:val="sk-SK"/>
        </w:rPr>
        <w:t xml:space="preserve"> a ďalšie</w:t>
      </w:r>
      <w:r w:rsidRPr="008B55D1">
        <w:rPr>
          <w:lang w:val="sk-SK"/>
        </w:rPr>
        <w:t>). Služby by mali byť diferencované na základe analýzy potrieb užívateľov. Služby by mali byť v kľúčových životných obdobiach (výber školy, vstup na trh práce, nezamestnanosť, zmena povolania, odchod do dôchodku...)</w:t>
      </w:r>
      <w:r>
        <w:rPr>
          <w:lang w:val="sk-SK"/>
        </w:rPr>
        <w:t xml:space="preserve"> </w:t>
      </w:r>
      <w:r w:rsidRPr="008B55D1">
        <w:rPr>
          <w:lang w:val="sk-SK"/>
        </w:rPr>
        <w:t>proaktívne ponúkané občanom.</w:t>
      </w:r>
      <w:r w:rsidR="00BF727E">
        <w:rPr>
          <w:lang w:val="sk-S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500"/>
      </w:tblGrid>
      <w:tr w:rsidR="00D544A6" w:rsidRPr="00432080" w14:paraId="0CADAA14" w14:textId="77777777" w:rsidTr="00737986">
        <w:tc>
          <w:tcPr>
            <w:tcW w:w="9500" w:type="dxa"/>
            <w:shd w:val="clear" w:color="auto" w:fill="D9E2F3" w:themeFill="accent1" w:themeFillTint="33"/>
          </w:tcPr>
          <w:p w14:paraId="0CADAA13" w14:textId="77777777" w:rsidR="00D544A6" w:rsidRPr="008B55D1" w:rsidRDefault="00D544A6" w:rsidP="00737986">
            <w:r w:rsidRPr="007C05BB">
              <w:rPr>
                <w:b/>
              </w:rPr>
              <w:t>Slovenská dobrá prax</w:t>
            </w:r>
            <w:r>
              <w:rPr>
                <w:b/>
              </w:rPr>
              <w:t>: posilňovanie existujúcich poradenských kapacít</w:t>
            </w:r>
          </w:p>
        </w:tc>
      </w:tr>
      <w:tr w:rsidR="00D544A6" w:rsidRPr="00432080" w14:paraId="0CADAA16" w14:textId="77777777" w:rsidTr="00737986">
        <w:tc>
          <w:tcPr>
            <w:tcW w:w="9500" w:type="dxa"/>
            <w:shd w:val="clear" w:color="auto" w:fill="D9E2F3" w:themeFill="accent1" w:themeFillTint="33"/>
          </w:tcPr>
          <w:p w14:paraId="0CADAA15" w14:textId="77777777" w:rsidR="00D544A6" w:rsidRPr="008B55D1" w:rsidRDefault="00D544A6" w:rsidP="00737986">
            <w:pPr>
              <w:jc w:val="both"/>
            </w:pPr>
            <w:r w:rsidRPr="008800F2">
              <w:t xml:space="preserve">V roku 2017 </w:t>
            </w:r>
            <w:r>
              <w:t xml:space="preserve">došlo v slovenských službách zamestnanosti k nasmerovaniu finančných zdrojov z operačného programu Ľudské zdroje </w:t>
            </w:r>
            <w:r w:rsidRPr="008800F2">
              <w:t xml:space="preserve">do </w:t>
            </w:r>
            <w:r>
              <w:t xml:space="preserve">rozvoja poradenských služieb </w:t>
            </w:r>
            <w:r w:rsidRPr="008800F2">
              <w:t>pre rôzne kategórie nezamestnaných</w:t>
            </w:r>
            <w:r>
              <w:t>. Došlo k výraznému posilneniu personálnych kapacít oddelení poradenstva a vzdelávania: Pre poskytovanie poradenských služieb dlhodobo nezamestnaným a občanom v najmenej rozvinutých regiónoch bolo prijatých a vyškolených 182 odborných poradcov. Do roku 2021 poskytnú poradenské služby zamerané na rozvoj zamestnateľnosti takmer 90 000  uchádzačom o zamestnanie. Pre zvýšenie dostupnosti je účastníkom poradenských programov za každé poradenské stretnutie poskytovaný paušálny príspevok pre úhradu cestovných a iných nákladov vo výške približne 5€.</w:t>
            </w:r>
          </w:p>
        </w:tc>
      </w:tr>
      <w:tr w:rsidR="00D544A6" w:rsidRPr="00827279" w14:paraId="0CADAA19" w14:textId="77777777" w:rsidTr="00737986">
        <w:tc>
          <w:tcPr>
            <w:tcW w:w="9500" w:type="dxa"/>
            <w:shd w:val="clear" w:color="auto" w:fill="D9E2F3" w:themeFill="accent1" w:themeFillTint="33"/>
          </w:tcPr>
          <w:p w14:paraId="0CADAA17" w14:textId="77777777" w:rsidR="00D544A6" w:rsidRDefault="00D544A6" w:rsidP="00737986">
            <w:pPr>
              <w:jc w:val="both"/>
              <w:rPr>
                <w:i/>
              </w:rPr>
            </w:pPr>
          </w:p>
          <w:p w14:paraId="0CADAA18" w14:textId="77777777" w:rsidR="00D544A6" w:rsidRPr="008800F2" w:rsidRDefault="00D544A6" w:rsidP="00737986">
            <w:pPr>
              <w:jc w:val="both"/>
            </w:pPr>
            <w:r>
              <w:rPr>
                <w:i/>
              </w:rPr>
              <w:t>Čo s tým ďalej?</w:t>
            </w:r>
          </w:p>
        </w:tc>
      </w:tr>
      <w:tr w:rsidR="00D544A6" w:rsidRPr="00432080" w14:paraId="0CADAA1B" w14:textId="77777777" w:rsidTr="00737986">
        <w:tc>
          <w:tcPr>
            <w:tcW w:w="9500" w:type="dxa"/>
            <w:shd w:val="clear" w:color="auto" w:fill="D9E2F3" w:themeFill="accent1" w:themeFillTint="33"/>
          </w:tcPr>
          <w:p w14:paraId="0CADAA1A" w14:textId="42A2AED1" w:rsidR="00D544A6" w:rsidRPr="00B14363" w:rsidRDefault="00D544A6" w:rsidP="00370D31">
            <w:pPr>
              <w:jc w:val="both"/>
            </w:pPr>
            <w:r>
              <w:t xml:space="preserve">Využitie existujúcich štruktúr pre poskytovanie poradenských služieb prináša významné úspory pri zabezpečovaní dostupnosti: V národných projektoch </w:t>
            </w:r>
            <w:r w:rsidR="00370D31">
              <w:t>Ú</w:t>
            </w:r>
            <w:r>
              <w:t>PSVaR tvoria približne 90% všetkých nákladov mzdy odborných poradcov. Otázkou ale zostáva udržateľnosť financovania z prostriedkov EŠIF, ako aj príťažlivosť existujúcich štruktúr (napr. služieb zamestnanosti) pre cieľovú skupinu všetkých dospelých.</w:t>
            </w:r>
          </w:p>
        </w:tc>
      </w:tr>
    </w:tbl>
    <w:p w14:paraId="0CADAA1C" w14:textId="77777777" w:rsidR="00E92A74" w:rsidRDefault="002E46C1" w:rsidP="0097028A">
      <w:pPr>
        <w:spacing w:before="120"/>
        <w:jc w:val="both"/>
        <w:rPr>
          <w:lang w:val="sk-SK"/>
        </w:rPr>
      </w:pPr>
      <w:r>
        <w:rPr>
          <w:lang w:val="sk-SK"/>
        </w:rPr>
        <w:t>Individuálne poradenstvo sa napriek nákladnosti z hľadiska dopadov javí ako najefektívnejšia forma služby</w:t>
      </w:r>
      <w:r w:rsidR="00117CD8">
        <w:rPr>
          <w:lang w:val="sk-SK"/>
        </w:rPr>
        <w:t xml:space="preserve"> a kľúčovou výzvou je zvýšiť jeho dostupnosť najmä pre dospelých</w:t>
      </w:r>
      <w:r w:rsidR="000C0E32">
        <w:rPr>
          <w:lang w:val="sk-SK"/>
        </w:rPr>
        <w:t>.</w:t>
      </w:r>
      <w:r w:rsidR="00E92A74">
        <w:rPr>
          <w:lang w:val="sk-SK"/>
        </w:rPr>
        <w:t xml:space="preserve"> Keďže </w:t>
      </w:r>
      <w:r w:rsidR="00E92A74" w:rsidRPr="00305F07">
        <w:rPr>
          <w:lang w:val="sk-SK"/>
        </w:rPr>
        <w:t xml:space="preserve">budovanie nových poradenských centier pre dospelých sa ukázalo ako neefektívne a neudržateľné, </w:t>
      </w:r>
      <w:r w:rsidR="00E92A74">
        <w:rPr>
          <w:lang w:val="sk-SK"/>
        </w:rPr>
        <w:t xml:space="preserve">európska prax ponúka </w:t>
      </w:r>
      <w:r w:rsidR="00E92A74" w:rsidRPr="00305F07">
        <w:rPr>
          <w:b/>
          <w:lang w:val="sk-SK"/>
        </w:rPr>
        <w:t>dva alternatívne prístupy</w:t>
      </w:r>
      <w:r w:rsidR="00D04633">
        <w:rPr>
          <w:b/>
          <w:lang w:val="sk-SK"/>
        </w:rPr>
        <w:t xml:space="preserve"> pre budovanie Národných kariérových služieb</w:t>
      </w:r>
      <w:r w:rsidR="00E92A74">
        <w:rPr>
          <w:lang w:val="sk-SK"/>
        </w:rPr>
        <w:t>:</w:t>
      </w:r>
    </w:p>
    <w:p w14:paraId="0CADAA1D" w14:textId="77777777" w:rsidR="00D544A6" w:rsidRDefault="00E92A74" w:rsidP="00FF787C">
      <w:pPr>
        <w:pStyle w:val="Heading5"/>
        <w:rPr>
          <w:lang w:val="sk-SK"/>
        </w:rPr>
      </w:pPr>
      <w:r>
        <w:rPr>
          <w:lang w:val="sk-SK"/>
        </w:rPr>
        <w:t>A:</w:t>
      </w:r>
      <w:r w:rsidR="000A26AC">
        <w:rPr>
          <w:lang w:val="sk-SK"/>
        </w:rPr>
        <w:t xml:space="preserve"> Kariérové poradenstvo pre dospelých </w:t>
      </w:r>
      <w:r w:rsidR="002D5243">
        <w:rPr>
          <w:lang w:val="sk-SK"/>
        </w:rPr>
        <w:t>zabezpečované službami zamestnanosti</w:t>
      </w:r>
      <w:r w:rsidR="000C0E32">
        <w:rPr>
          <w:lang w:val="sk-SK"/>
        </w:rPr>
        <w:t xml:space="preserve"> </w:t>
      </w:r>
      <w:r w:rsidR="00117CD8">
        <w:rPr>
          <w:lang w:val="sk-SK"/>
        </w:rPr>
        <w:t xml:space="preserve"> </w:t>
      </w:r>
    </w:p>
    <w:p w14:paraId="0CADAA1E" w14:textId="77777777" w:rsidR="008B1199" w:rsidRDefault="00564AB3" w:rsidP="00225CEE">
      <w:pPr>
        <w:jc w:val="both"/>
        <w:rPr>
          <w:lang w:val="sk-SK"/>
        </w:rPr>
      </w:pPr>
      <w:r w:rsidRPr="00562C39">
        <w:rPr>
          <w:u w:val="single"/>
          <w:lang w:val="sk-SK"/>
        </w:rPr>
        <w:t>Východiská</w:t>
      </w:r>
      <w:r>
        <w:rPr>
          <w:b/>
          <w:lang w:val="sk-SK"/>
        </w:rPr>
        <w:t xml:space="preserve">: </w:t>
      </w:r>
      <w:r w:rsidR="00CA1852">
        <w:rPr>
          <w:lang w:val="sk-SK"/>
        </w:rPr>
        <w:t xml:space="preserve">V tomto variante sú </w:t>
      </w:r>
      <w:r w:rsidR="00373A13">
        <w:rPr>
          <w:lang w:val="sk-SK"/>
        </w:rPr>
        <w:t xml:space="preserve">služby kariérového poradenstva zabezpečené </w:t>
      </w:r>
      <w:r w:rsidR="00225CEE">
        <w:rPr>
          <w:lang w:val="sk-SK"/>
        </w:rPr>
        <w:t>úradmi práce, sociálnych vecí a</w:t>
      </w:r>
      <w:r w:rsidR="00066A61">
        <w:rPr>
          <w:lang w:val="sk-SK"/>
        </w:rPr>
        <w:t> </w:t>
      </w:r>
      <w:r w:rsidR="00225CEE">
        <w:rPr>
          <w:lang w:val="sk-SK"/>
        </w:rPr>
        <w:t>rodiny</w:t>
      </w:r>
      <w:r w:rsidR="00066A61">
        <w:rPr>
          <w:lang w:val="sk-SK"/>
        </w:rPr>
        <w:t xml:space="preserve"> v zmysle </w:t>
      </w:r>
      <w:r w:rsidR="00A45947">
        <w:rPr>
          <w:lang w:val="sk-SK"/>
        </w:rPr>
        <w:t>§7 Zákona o službách zamestnanosti (</w:t>
      </w:r>
      <w:r w:rsidR="00E3412B">
        <w:rPr>
          <w:lang w:val="sk-SK"/>
        </w:rPr>
        <w:t>„Záujemca o zamestnanie“)</w:t>
      </w:r>
      <w:r w:rsidR="00831987">
        <w:rPr>
          <w:lang w:val="sk-SK"/>
        </w:rPr>
        <w:t xml:space="preserve"> a §43 zákona o služieb zamestnanosti (</w:t>
      </w:r>
      <w:r w:rsidR="00F83522">
        <w:rPr>
          <w:lang w:val="sk-SK"/>
        </w:rPr>
        <w:t>„Odborné poradenské služby</w:t>
      </w:r>
      <w:r w:rsidR="00333ACF">
        <w:rPr>
          <w:lang w:val="sk-SK"/>
        </w:rPr>
        <w:t>“</w:t>
      </w:r>
      <w:r w:rsidR="00F83522">
        <w:rPr>
          <w:lang w:val="sk-SK"/>
        </w:rPr>
        <w:t>)</w:t>
      </w:r>
      <w:r w:rsidR="00225CEE">
        <w:rPr>
          <w:lang w:val="sk-SK"/>
        </w:rPr>
        <w:t>.</w:t>
      </w:r>
      <w:r w:rsidR="00474222">
        <w:rPr>
          <w:lang w:val="sk-SK"/>
        </w:rPr>
        <w:t xml:space="preserve"> </w:t>
      </w:r>
      <w:r w:rsidR="00EF738E">
        <w:rPr>
          <w:lang w:val="sk-SK"/>
        </w:rPr>
        <w:t xml:space="preserve">Výstupom poskytnutej </w:t>
      </w:r>
      <w:r w:rsidR="00474222">
        <w:rPr>
          <w:lang w:val="sk-SK"/>
        </w:rPr>
        <w:t>služby je kariérový plán klienta, ktorý obsahuje konkrétne kroky pre dosiahnutie profesijných a vzdelávacích cieľov.</w:t>
      </w:r>
      <w:r w:rsidR="00E03DF1">
        <w:rPr>
          <w:lang w:val="sk-SK"/>
        </w:rPr>
        <w:t xml:space="preserve"> Koordinácia a metodické usmerňovanie siete kariérových poradcov pre dospelých je zabezpečená osobitným </w:t>
      </w:r>
      <w:r w:rsidR="0056351F">
        <w:rPr>
          <w:lang w:val="sk-SK"/>
        </w:rPr>
        <w:t xml:space="preserve">koordinačným </w:t>
      </w:r>
      <w:r w:rsidR="00E03DF1">
        <w:rPr>
          <w:lang w:val="sk-SK"/>
        </w:rPr>
        <w:t>orgánom</w:t>
      </w:r>
      <w:r w:rsidR="0056351F">
        <w:rPr>
          <w:lang w:val="sk-SK"/>
        </w:rPr>
        <w:t xml:space="preserve"> alebo organizačnou jednotkou v rámci Ústredia práce, sociálnych vecí a rodiny.</w:t>
      </w:r>
    </w:p>
    <w:p w14:paraId="0CADAA1F" w14:textId="77777777" w:rsidR="00562C39" w:rsidRDefault="00564AB3" w:rsidP="00096B9B">
      <w:pPr>
        <w:spacing w:line="240" w:lineRule="auto"/>
        <w:jc w:val="both"/>
        <w:rPr>
          <w:lang w:val="sk-SK"/>
        </w:rPr>
      </w:pPr>
      <w:r w:rsidRPr="00562C39">
        <w:rPr>
          <w:u w:val="single"/>
          <w:lang w:val="sk-SK"/>
        </w:rPr>
        <w:t>Proces realizácie</w:t>
      </w:r>
      <w:r>
        <w:rPr>
          <w:b/>
          <w:lang w:val="sk-SK"/>
        </w:rPr>
        <w:t xml:space="preserve">: </w:t>
      </w:r>
      <w:r w:rsidR="004C0502">
        <w:rPr>
          <w:lang w:val="sk-SK"/>
        </w:rPr>
        <w:t xml:space="preserve">Variant je realizovaný prostredníctvom zamestnania kariérových poradcov, ktorí v individuálnych kanceláriách v priestoroch úradu práce, sociálnych vecí a rodiny poskytujú kariérové poradenstvo pre všetkých dospelých. </w:t>
      </w:r>
      <w:r w:rsidR="00096B9B">
        <w:rPr>
          <w:lang w:val="sk-SK"/>
        </w:rPr>
        <w:t xml:space="preserve">Pre </w:t>
      </w:r>
      <w:r w:rsidR="00881806">
        <w:rPr>
          <w:lang w:val="sk-SK"/>
        </w:rPr>
        <w:t>minimalizovanie nevýhod a</w:t>
      </w:r>
      <w:r w:rsidR="001B0C1A">
        <w:rPr>
          <w:lang w:val="sk-SK"/>
        </w:rPr>
        <w:t> </w:t>
      </w:r>
      <w:r w:rsidR="00881806">
        <w:rPr>
          <w:lang w:val="sk-SK"/>
        </w:rPr>
        <w:t xml:space="preserve">rizík, </w:t>
      </w:r>
      <w:r w:rsidR="00096B9B">
        <w:rPr>
          <w:lang w:val="sk-SK"/>
        </w:rPr>
        <w:t xml:space="preserve">zvýšenie atraktivity </w:t>
      </w:r>
      <w:r w:rsidR="00E04023">
        <w:rPr>
          <w:lang w:val="sk-SK"/>
        </w:rPr>
        <w:t>poskytovanej služby</w:t>
      </w:r>
      <w:r w:rsidR="00611189">
        <w:rPr>
          <w:lang w:val="sk-SK"/>
        </w:rPr>
        <w:t>, resp.</w:t>
      </w:r>
      <w:r w:rsidR="00E04023">
        <w:rPr>
          <w:lang w:val="sk-SK"/>
        </w:rPr>
        <w:t> </w:t>
      </w:r>
      <w:r w:rsidR="0042133E">
        <w:rPr>
          <w:lang w:val="sk-SK"/>
        </w:rPr>
        <w:t>zamedzenie</w:t>
      </w:r>
      <w:r w:rsidR="00E04023">
        <w:rPr>
          <w:lang w:val="sk-SK"/>
        </w:rPr>
        <w:t xml:space="preserve"> </w:t>
      </w:r>
      <w:r w:rsidR="00611189">
        <w:rPr>
          <w:lang w:val="sk-SK"/>
        </w:rPr>
        <w:t>negatívneho vnímania verejnosťou</w:t>
      </w:r>
      <w:r w:rsidR="00B96003">
        <w:rPr>
          <w:lang w:val="sk-SK"/>
        </w:rPr>
        <w:t xml:space="preserve"> v dôsledku prepojenia s úradmi práce, sociálnych vecí a rodiny</w:t>
      </w:r>
      <w:r w:rsidR="005D2013">
        <w:rPr>
          <w:lang w:val="sk-SK"/>
        </w:rPr>
        <w:t xml:space="preserve"> a zabezpečenie nestrannosti poskytovanej služby</w:t>
      </w:r>
      <w:r w:rsidR="00611189">
        <w:rPr>
          <w:lang w:val="sk-SK"/>
        </w:rPr>
        <w:t xml:space="preserve"> predpokladá </w:t>
      </w:r>
      <w:r w:rsidR="00611189">
        <w:rPr>
          <w:lang w:val="sk-SK"/>
        </w:rPr>
        <w:lastRenderedPageBreak/>
        <w:t xml:space="preserve">tento variant </w:t>
      </w:r>
      <w:r w:rsidR="000A63C6">
        <w:rPr>
          <w:lang w:val="sk-SK"/>
        </w:rPr>
        <w:t xml:space="preserve">vytvorenie </w:t>
      </w:r>
      <w:r w:rsidR="00611189" w:rsidRPr="00D04633">
        <w:rPr>
          <w:b/>
          <w:lang w:val="sk-SK"/>
        </w:rPr>
        <w:t>osobitn</w:t>
      </w:r>
      <w:r w:rsidR="00F11C81" w:rsidRPr="00D04633">
        <w:rPr>
          <w:b/>
          <w:lang w:val="sk-SK"/>
        </w:rPr>
        <w:t>ého názvu a</w:t>
      </w:r>
      <w:r w:rsidR="00611189" w:rsidRPr="00D04633">
        <w:rPr>
          <w:b/>
          <w:lang w:val="sk-SK"/>
        </w:rPr>
        <w:t xml:space="preserve"> </w:t>
      </w:r>
      <w:r w:rsidR="00290D6A" w:rsidRPr="00D04633">
        <w:rPr>
          <w:b/>
          <w:lang w:val="sk-SK"/>
        </w:rPr>
        <w:t>„značky“ služby</w:t>
      </w:r>
      <w:r w:rsidR="004B2F21">
        <w:rPr>
          <w:b/>
          <w:lang w:val="sk-SK"/>
        </w:rPr>
        <w:t xml:space="preserve"> („</w:t>
      </w:r>
      <w:r w:rsidR="004B2F21" w:rsidRPr="004B2F21">
        <w:rPr>
          <w:b/>
          <w:i/>
          <w:lang w:val="sk-SK"/>
        </w:rPr>
        <w:t>Národné kariérové služby</w:t>
      </w:r>
      <w:r w:rsidR="00F11C81">
        <w:rPr>
          <w:rStyle w:val="FootnoteReference"/>
          <w:lang w:val="sk-SK"/>
        </w:rPr>
        <w:footnoteReference w:id="11"/>
      </w:r>
      <w:r w:rsidR="004B2F21">
        <w:rPr>
          <w:b/>
          <w:lang w:val="sk-SK"/>
        </w:rPr>
        <w:t>“)</w:t>
      </w:r>
      <w:r w:rsidR="00290D6A">
        <w:rPr>
          <w:lang w:val="sk-SK"/>
        </w:rPr>
        <w:t xml:space="preserve">, </w:t>
      </w:r>
      <w:r w:rsidR="00F11C81">
        <w:rPr>
          <w:lang w:val="sk-SK"/>
        </w:rPr>
        <w:t xml:space="preserve">ako aj </w:t>
      </w:r>
      <w:r w:rsidR="00080079">
        <w:rPr>
          <w:lang w:val="sk-SK"/>
        </w:rPr>
        <w:t xml:space="preserve">čo najväčšiu autonómiu </w:t>
      </w:r>
      <w:r w:rsidR="0037204D">
        <w:rPr>
          <w:lang w:val="sk-SK"/>
        </w:rPr>
        <w:t xml:space="preserve">siete kariérových poradcov </w:t>
      </w:r>
      <w:r w:rsidR="00080079">
        <w:rPr>
          <w:lang w:val="sk-SK"/>
        </w:rPr>
        <w:t>v rámci organizačnej štruktúry služieb zamestnanosti.</w:t>
      </w:r>
      <w:r w:rsidR="002840DB">
        <w:rPr>
          <w:lang w:val="sk-SK"/>
        </w:rPr>
        <w:t xml:space="preserve"> </w:t>
      </w:r>
    </w:p>
    <w:p w14:paraId="0CADAA20" w14:textId="77777777" w:rsidR="000634F7" w:rsidRDefault="00562C39" w:rsidP="00096B9B">
      <w:pPr>
        <w:spacing w:line="240" w:lineRule="auto"/>
        <w:jc w:val="both"/>
        <w:rPr>
          <w:lang w:val="sk-SK"/>
        </w:rPr>
      </w:pPr>
      <w:r w:rsidRPr="00562C39">
        <w:rPr>
          <w:u w:val="single"/>
          <w:lang w:val="sk-SK"/>
        </w:rPr>
        <w:t>Financovanie</w:t>
      </w:r>
      <w:r>
        <w:rPr>
          <w:b/>
          <w:lang w:val="sk-SK"/>
        </w:rPr>
        <w:t xml:space="preserve">: </w:t>
      </w:r>
      <w:r w:rsidR="000634F7">
        <w:rPr>
          <w:lang w:val="sk-SK"/>
        </w:rPr>
        <w:t xml:space="preserve">Financovanie </w:t>
      </w:r>
      <w:r w:rsidR="00EF3137">
        <w:rPr>
          <w:lang w:val="sk-SK"/>
        </w:rPr>
        <w:t xml:space="preserve">je možné zabezpečiť </w:t>
      </w:r>
      <w:r w:rsidR="00D41EBD">
        <w:rPr>
          <w:lang w:val="sk-SK"/>
        </w:rPr>
        <w:t>formou národn</w:t>
      </w:r>
      <w:r w:rsidR="00C96269">
        <w:rPr>
          <w:lang w:val="sk-SK"/>
        </w:rPr>
        <w:t>ého projektu</w:t>
      </w:r>
      <w:r w:rsidR="00D82CA9">
        <w:rPr>
          <w:lang w:val="sk-SK"/>
        </w:rPr>
        <w:t>.</w:t>
      </w:r>
      <w:r w:rsidR="0084074A">
        <w:rPr>
          <w:lang w:val="sk-SK"/>
        </w:rPr>
        <w:t xml:space="preserve"> </w:t>
      </w:r>
      <w:r w:rsidR="00D82CA9">
        <w:rPr>
          <w:lang w:val="sk-SK"/>
        </w:rPr>
        <w:t xml:space="preserve">Pri predpoklade využitia existujúcich priestorov </w:t>
      </w:r>
      <w:r w:rsidR="00CE33EB">
        <w:rPr>
          <w:lang w:val="sk-SK"/>
        </w:rPr>
        <w:t xml:space="preserve">je </w:t>
      </w:r>
      <w:r w:rsidR="0084074A">
        <w:rPr>
          <w:lang w:val="sk-SK"/>
        </w:rPr>
        <w:t xml:space="preserve">v  štruktúre nákladov </w:t>
      </w:r>
      <w:r w:rsidR="00773F09">
        <w:rPr>
          <w:lang w:val="sk-SK"/>
        </w:rPr>
        <w:t>možné predpokladať až</w:t>
      </w:r>
      <w:r w:rsidR="0084074A">
        <w:rPr>
          <w:lang w:val="sk-SK"/>
        </w:rPr>
        <w:t xml:space="preserve"> </w:t>
      </w:r>
      <w:r w:rsidR="00773F09">
        <w:rPr>
          <w:lang w:val="sk-SK"/>
        </w:rPr>
        <w:t>85</w:t>
      </w:r>
      <w:r w:rsidR="0084074A">
        <w:rPr>
          <w:lang w:val="sk-SK"/>
        </w:rPr>
        <w:t>%</w:t>
      </w:r>
      <w:r w:rsidR="00773F09">
        <w:rPr>
          <w:lang w:val="sk-SK"/>
        </w:rPr>
        <w:t>ný podiel</w:t>
      </w:r>
      <w:r w:rsidR="0084074A">
        <w:rPr>
          <w:lang w:val="sk-SK"/>
        </w:rPr>
        <w:t xml:space="preserve"> personáln</w:t>
      </w:r>
      <w:r w:rsidR="00773F09">
        <w:rPr>
          <w:lang w:val="sk-SK"/>
        </w:rPr>
        <w:t>ych</w:t>
      </w:r>
      <w:r w:rsidR="0084074A">
        <w:rPr>
          <w:lang w:val="sk-SK"/>
        </w:rPr>
        <w:t xml:space="preserve"> náklad</w:t>
      </w:r>
      <w:r w:rsidR="00773F09">
        <w:rPr>
          <w:lang w:val="sk-SK"/>
        </w:rPr>
        <w:t>ov</w:t>
      </w:r>
      <w:r w:rsidR="0084074A">
        <w:rPr>
          <w:lang w:val="sk-SK"/>
        </w:rPr>
        <w:t xml:space="preserve"> </w:t>
      </w:r>
      <w:r w:rsidR="00773F09">
        <w:rPr>
          <w:lang w:val="sk-SK"/>
        </w:rPr>
        <w:t>súvisiacich so zamestnaním</w:t>
      </w:r>
      <w:r w:rsidR="0084074A">
        <w:rPr>
          <w:lang w:val="sk-SK"/>
        </w:rPr>
        <w:t xml:space="preserve"> </w:t>
      </w:r>
      <w:r w:rsidR="002C6B9D">
        <w:rPr>
          <w:lang w:val="sk-SK"/>
        </w:rPr>
        <w:t>kariérových</w:t>
      </w:r>
      <w:r w:rsidR="0084074A">
        <w:rPr>
          <w:lang w:val="sk-SK"/>
        </w:rPr>
        <w:t xml:space="preserve"> poradcov</w:t>
      </w:r>
      <w:r w:rsidR="0084074A">
        <w:rPr>
          <w:rStyle w:val="FootnoteReference"/>
          <w:lang w:val="sk-SK"/>
        </w:rPr>
        <w:footnoteReference w:id="12"/>
      </w:r>
      <w:r w:rsidR="00EF3137">
        <w:rPr>
          <w:lang w:val="sk-SK"/>
        </w:rPr>
        <w:t>.</w:t>
      </w:r>
      <w:r w:rsidR="005D2013">
        <w:rPr>
          <w:lang w:val="sk-SK"/>
        </w:rPr>
        <w:t xml:space="preserve"> </w:t>
      </w:r>
      <w:r w:rsidR="00832738">
        <w:rPr>
          <w:lang w:val="sk-SK"/>
        </w:rPr>
        <w:t xml:space="preserve">Takéto riešenie umožňuje </w:t>
      </w:r>
      <w:r w:rsidR="00832738" w:rsidRPr="009244EA">
        <w:rPr>
          <w:b/>
          <w:lang w:val="sk-SK"/>
        </w:rPr>
        <w:t xml:space="preserve">výrazne posilniť kapacitu poradenských </w:t>
      </w:r>
      <w:r w:rsidR="00797215" w:rsidRPr="009244EA">
        <w:rPr>
          <w:b/>
          <w:lang w:val="sk-SK"/>
        </w:rPr>
        <w:t>služieb</w:t>
      </w:r>
      <w:r w:rsidR="00797215">
        <w:rPr>
          <w:lang w:val="sk-SK"/>
        </w:rPr>
        <w:t xml:space="preserve"> už pri zamestnaní 46 </w:t>
      </w:r>
      <w:r w:rsidR="002C6B9D">
        <w:rPr>
          <w:lang w:val="sk-SK"/>
        </w:rPr>
        <w:t>kariérových</w:t>
      </w:r>
      <w:r w:rsidR="00797215">
        <w:rPr>
          <w:lang w:val="sk-SK"/>
        </w:rPr>
        <w:t xml:space="preserve"> poradcov (1 na každý úrad práce, sociálnych vecí a</w:t>
      </w:r>
      <w:r w:rsidR="00DC19B9">
        <w:rPr>
          <w:lang w:val="sk-SK"/>
        </w:rPr>
        <w:t> </w:t>
      </w:r>
      <w:r w:rsidR="00797215">
        <w:rPr>
          <w:lang w:val="sk-SK"/>
        </w:rPr>
        <w:t>rodiny</w:t>
      </w:r>
      <w:r w:rsidR="00DC19B9">
        <w:rPr>
          <w:lang w:val="sk-SK"/>
        </w:rPr>
        <w:t xml:space="preserve"> v pilotnej fáze</w:t>
      </w:r>
      <w:r w:rsidR="00797215">
        <w:rPr>
          <w:lang w:val="sk-SK"/>
        </w:rPr>
        <w:t>)</w:t>
      </w:r>
      <w:r w:rsidR="00797215">
        <w:rPr>
          <w:rStyle w:val="FootnoteReference"/>
          <w:lang w:val="sk-SK"/>
        </w:rPr>
        <w:footnoteReference w:id="13"/>
      </w:r>
      <w:r w:rsidR="00881806">
        <w:rPr>
          <w:lang w:val="sk-SK"/>
        </w:rPr>
        <w:t>.</w:t>
      </w:r>
    </w:p>
    <w:p w14:paraId="0CADAA21" w14:textId="66FE2A42" w:rsidR="00487F27" w:rsidRDefault="00562C39" w:rsidP="00096B9B">
      <w:pPr>
        <w:spacing w:line="240" w:lineRule="auto"/>
        <w:jc w:val="both"/>
        <w:rPr>
          <w:lang w:val="sk-SK"/>
        </w:rPr>
      </w:pPr>
      <w:r w:rsidRPr="00562C39">
        <w:rPr>
          <w:u w:val="single"/>
          <w:lang w:val="sk-SK"/>
        </w:rPr>
        <w:t xml:space="preserve">Podporné </w:t>
      </w:r>
      <w:r>
        <w:rPr>
          <w:u w:val="single"/>
          <w:lang w:val="sk-SK"/>
        </w:rPr>
        <w:t>procesy</w:t>
      </w:r>
      <w:r>
        <w:rPr>
          <w:lang w:val="sk-SK"/>
        </w:rPr>
        <w:t xml:space="preserve">: </w:t>
      </w:r>
      <w:r w:rsidR="00581CAB">
        <w:rPr>
          <w:lang w:val="sk-SK"/>
        </w:rPr>
        <w:t>Pre zvyšovanie atraktívnosti služby tento variant počíta s</w:t>
      </w:r>
      <w:r w:rsidR="005D0BE5">
        <w:rPr>
          <w:lang w:val="sk-SK"/>
        </w:rPr>
        <w:t> </w:t>
      </w:r>
      <w:r w:rsidR="005D0BE5" w:rsidRPr="00AF69F1">
        <w:rPr>
          <w:b/>
          <w:lang w:val="sk-SK"/>
        </w:rPr>
        <w:t>cielenou marketingovou a komunikačnou kampaňou</w:t>
      </w:r>
      <w:r w:rsidR="005D0BE5">
        <w:rPr>
          <w:lang w:val="sk-SK"/>
        </w:rPr>
        <w:t xml:space="preserve">, </w:t>
      </w:r>
      <w:r w:rsidR="001A6C51">
        <w:rPr>
          <w:lang w:val="sk-SK"/>
        </w:rPr>
        <w:t xml:space="preserve">ktorá by </w:t>
      </w:r>
      <w:r w:rsidR="00DA62DA">
        <w:rPr>
          <w:lang w:val="sk-SK"/>
        </w:rPr>
        <w:t xml:space="preserve">mala byť koordinovaná </w:t>
      </w:r>
      <w:r w:rsidR="001A6C51">
        <w:rPr>
          <w:lang w:val="sk-SK"/>
        </w:rPr>
        <w:t>s predpokladaným spustením individuálnych vzdelávacích účtov</w:t>
      </w:r>
      <w:r w:rsidR="00A87128">
        <w:rPr>
          <w:lang w:val="sk-SK"/>
        </w:rPr>
        <w:t>.</w:t>
      </w:r>
      <w:r w:rsidR="00A867E9">
        <w:rPr>
          <w:rStyle w:val="FootnoteReference"/>
          <w:lang w:val="sk-SK"/>
        </w:rPr>
        <w:footnoteReference w:id="14"/>
      </w:r>
      <w:r w:rsidR="00EB3CAD">
        <w:rPr>
          <w:lang w:val="sk-SK"/>
        </w:rPr>
        <w:t xml:space="preserve"> Propagáci</w:t>
      </w:r>
      <w:r w:rsidR="001D0562">
        <w:rPr>
          <w:lang w:val="sk-SK"/>
        </w:rPr>
        <w:t>a</w:t>
      </w:r>
      <w:r w:rsidR="00EB3CAD">
        <w:rPr>
          <w:lang w:val="sk-SK"/>
        </w:rPr>
        <w:t xml:space="preserve"> bude zabezpečená </w:t>
      </w:r>
      <w:r w:rsidR="001D0562">
        <w:rPr>
          <w:lang w:val="sk-SK"/>
        </w:rPr>
        <w:t xml:space="preserve">aj </w:t>
      </w:r>
      <w:r w:rsidR="00EB3CAD">
        <w:rPr>
          <w:lang w:val="sk-SK"/>
        </w:rPr>
        <w:t xml:space="preserve">samotnými kariérovými poradcami prostredníctvom </w:t>
      </w:r>
      <w:r w:rsidR="00F96394">
        <w:rPr>
          <w:lang w:val="sk-SK"/>
        </w:rPr>
        <w:t xml:space="preserve"> ich </w:t>
      </w:r>
      <w:r w:rsidR="001D0562">
        <w:rPr>
          <w:lang w:val="sk-SK"/>
        </w:rPr>
        <w:t xml:space="preserve">územnej </w:t>
      </w:r>
      <w:r w:rsidR="00F96394">
        <w:rPr>
          <w:lang w:val="sk-SK"/>
        </w:rPr>
        <w:t>pôsobnosti.</w:t>
      </w:r>
      <w:r w:rsidR="00AF69F1">
        <w:rPr>
          <w:lang w:val="sk-SK"/>
        </w:rPr>
        <w:t xml:space="preserve"> </w:t>
      </w:r>
      <w:r w:rsidR="00E63C6C">
        <w:rPr>
          <w:lang w:val="sk-SK"/>
        </w:rPr>
        <w:t>Užívateľská prívetivosť a dostupnosť systému bude zabezpečená vytvorením jednoduchej</w:t>
      </w:r>
      <w:r w:rsidR="002D5F21">
        <w:rPr>
          <w:lang w:val="sk-SK"/>
        </w:rPr>
        <w:t xml:space="preserve"> </w:t>
      </w:r>
      <w:r w:rsidR="00E63C6C">
        <w:rPr>
          <w:lang w:val="sk-SK"/>
        </w:rPr>
        <w:t>webstránky, n</w:t>
      </w:r>
      <w:r w:rsidR="002D5F21">
        <w:rPr>
          <w:lang w:val="sk-SK"/>
        </w:rPr>
        <w:t>a</w:t>
      </w:r>
      <w:r w:rsidR="00E63C6C">
        <w:rPr>
          <w:lang w:val="sk-SK"/>
        </w:rPr>
        <w:t xml:space="preserve"> ktorej bude môcť občan získať kontakty na </w:t>
      </w:r>
      <w:r w:rsidR="006C5A2B">
        <w:rPr>
          <w:lang w:val="sk-SK"/>
        </w:rPr>
        <w:t>najbližšieho poskytovateľa národných kariérových služieb</w:t>
      </w:r>
      <w:r w:rsidR="002D5F21">
        <w:rPr>
          <w:lang w:val="sk-SK"/>
        </w:rPr>
        <w:t xml:space="preserve"> a prostredníctvom</w:t>
      </w:r>
      <w:r w:rsidR="006C5A2B">
        <w:rPr>
          <w:lang w:val="sk-SK"/>
        </w:rPr>
        <w:t xml:space="preserve"> online </w:t>
      </w:r>
      <w:r w:rsidR="002D5F21">
        <w:rPr>
          <w:lang w:val="sk-SK"/>
        </w:rPr>
        <w:t xml:space="preserve">formulára </w:t>
      </w:r>
      <w:r w:rsidR="006C5A2B">
        <w:rPr>
          <w:lang w:val="sk-SK"/>
        </w:rPr>
        <w:t xml:space="preserve">alebo telefonicky si dohodnúť </w:t>
      </w:r>
      <w:r w:rsidR="002D5F21">
        <w:rPr>
          <w:lang w:val="sk-SK"/>
        </w:rPr>
        <w:t xml:space="preserve">osobné </w:t>
      </w:r>
      <w:r w:rsidR="006C5A2B">
        <w:rPr>
          <w:lang w:val="sk-SK"/>
        </w:rPr>
        <w:t>stretnutie</w:t>
      </w:r>
      <w:r w:rsidR="002D5F21">
        <w:rPr>
          <w:lang w:val="sk-SK"/>
        </w:rPr>
        <w:t xml:space="preserve">. </w:t>
      </w:r>
      <w:r w:rsidR="008602E3">
        <w:rPr>
          <w:lang w:val="sk-SK"/>
        </w:rPr>
        <w:t xml:space="preserve">Zvýšenie dostupnosti tiež možno dosiahnuť </w:t>
      </w:r>
      <w:r w:rsidR="007D51AF" w:rsidRPr="00867280">
        <w:rPr>
          <w:b/>
          <w:lang w:val="sk-SK"/>
        </w:rPr>
        <w:t>umožnením telefonických konzultácií</w:t>
      </w:r>
      <w:r w:rsidR="007D51AF">
        <w:rPr>
          <w:lang w:val="sk-SK"/>
        </w:rPr>
        <w:t xml:space="preserve"> </w:t>
      </w:r>
      <w:r w:rsidR="00FD6715">
        <w:rPr>
          <w:lang w:val="sk-SK"/>
        </w:rPr>
        <w:t xml:space="preserve">na jednotnom telefónnom čísle (tzv. hotline), </w:t>
      </w:r>
      <w:r w:rsidR="00564AB3">
        <w:rPr>
          <w:lang w:val="sk-SK"/>
        </w:rPr>
        <w:t xml:space="preserve">ktorého chod budú striedavo zabezpečovať </w:t>
      </w:r>
      <w:r w:rsidR="00FD6715">
        <w:rPr>
          <w:lang w:val="sk-SK"/>
        </w:rPr>
        <w:t xml:space="preserve">zamestnaní </w:t>
      </w:r>
      <w:r w:rsidR="007D51AF">
        <w:rPr>
          <w:lang w:val="sk-SK"/>
        </w:rPr>
        <w:t>kariérov</w:t>
      </w:r>
      <w:r w:rsidR="00FD6715">
        <w:rPr>
          <w:lang w:val="sk-SK"/>
        </w:rPr>
        <w:t>í</w:t>
      </w:r>
      <w:r w:rsidR="007D51AF">
        <w:rPr>
          <w:lang w:val="sk-SK"/>
        </w:rPr>
        <w:t xml:space="preserve"> </w:t>
      </w:r>
      <w:r w:rsidR="00FD6715">
        <w:rPr>
          <w:lang w:val="sk-SK"/>
        </w:rPr>
        <w:t>poradcovia</w:t>
      </w:r>
      <w:r w:rsidR="007D51AF">
        <w:rPr>
          <w:lang w:val="sk-SK"/>
        </w:rPr>
        <w:t>.</w:t>
      </w:r>
    </w:p>
    <w:tbl>
      <w:tblPr>
        <w:tblStyle w:val="TableGrid"/>
        <w:tblW w:w="0" w:type="auto"/>
        <w:tblLook w:val="04A0" w:firstRow="1" w:lastRow="0" w:firstColumn="1" w:lastColumn="0" w:noHBand="0" w:noVBand="1"/>
      </w:tblPr>
      <w:tblGrid>
        <w:gridCol w:w="4788"/>
        <w:gridCol w:w="4788"/>
      </w:tblGrid>
      <w:tr w:rsidR="00E76085" w14:paraId="0CADAA24" w14:textId="77777777" w:rsidTr="00737986">
        <w:tc>
          <w:tcPr>
            <w:tcW w:w="4788" w:type="dxa"/>
            <w:shd w:val="clear" w:color="auto" w:fill="D9E2F3" w:themeFill="accent1" w:themeFillTint="33"/>
          </w:tcPr>
          <w:p w14:paraId="0CADAA22" w14:textId="77777777" w:rsidR="00E76085" w:rsidRDefault="00E76085" w:rsidP="00737986">
            <w:pPr>
              <w:jc w:val="both"/>
              <w:rPr>
                <w:b/>
              </w:rPr>
            </w:pPr>
            <w:r>
              <w:rPr>
                <w:b/>
              </w:rPr>
              <w:t>Výhody</w:t>
            </w:r>
          </w:p>
        </w:tc>
        <w:tc>
          <w:tcPr>
            <w:tcW w:w="4788" w:type="dxa"/>
            <w:shd w:val="clear" w:color="auto" w:fill="D9E2F3" w:themeFill="accent1" w:themeFillTint="33"/>
          </w:tcPr>
          <w:p w14:paraId="0CADAA23" w14:textId="77777777" w:rsidR="00E76085" w:rsidRDefault="00E76085" w:rsidP="00737986">
            <w:pPr>
              <w:jc w:val="both"/>
              <w:rPr>
                <w:b/>
              </w:rPr>
            </w:pPr>
            <w:r>
              <w:rPr>
                <w:b/>
              </w:rPr>
              <w:t>Nevýhody</w:t>
            </w:r>
          </w:p>
        </w:tc>
      </w:tr>
      <w:tr w:rsidR="00E76085" w14:paraId="0CADAA2E" w14:textId="77777777" w:rsidTr="00737986">
        <w:tc>
          <w:tcPr>
            <w:tcW w:w="4788" w:type="dxa"/>
          </w:tcPr>
          <w:p w14:paraId="0CADAA25" w14:textId="77777777" w:rsidR="00E76085" w:rsidRDefault="00E76085" w:rsidP="00865E38">
            <w:pPr>
              <w:pStyle w:val="ListParagraph"/>
              <w:numPr>
                <w:ilvl w:val="0"/>
                <w:numId w:val="18"/>
              </w:numPr>
              <w:ind w:left="426" w:hanging="426"/>
            </w:pPr>
            <w:r>
              <w:t>Využitie existujúcich personálnych kapacít (vyškolení odborní poradcovia)</w:t>
            </w:r>
          </w:p>
          <w:p w14:paraId="0CADAA26" w14:textId="77777777" w:rsidR="00E76085" w:rsidRDefault="00E76085" w:rsidP="00865E38">
            <w:pPr>
              <w:pStyle w:val="ListParagraph"/>
              <w:numPr>
                <w:ilvl w:val="0"/>
                <w:numId w:val="18"/>
              </w:numPr>
              <w:ind w:left="426" w:hanging="426"/>
            </w:pPr>
            <w:r>
              <w:t>Relatívne nižšie náklady (využitie existujúcich kapacít)</w:t>
            </w:r>
          </w:p>
          <w:p w14:paraId="0CADAA27" w14:textId="77777777" w:rsidR="00E76085" w:rsidRDefault="00E76085" w:rsidP="00865E38">
            <w:pPr>
              <w:pStyle w:val="ListParagraph"/>
              <w:numPr>
                <w:ilvl w:val="0"/>
                <w:numId w:val="18"/>
              </w:numPr>
              <w:ind w:left="426" w:hanging="426"/>
            </w:pPr>
            <w:r>
              <w:t>Zabezpečené dobré regionálne pokrytie</w:t>
            </w:r>
          </w:p>
          <w:p w14:paraId="0CADAA28" w14:textId="77777777" w:rsidR="00E76085" w:rsidRDefault="00E76085" w:rsidP="00865E38">
            <w:pPr>
              <w:pStyle w:val="ListParagraph"/>
              <w:numPr>
                <w:ilvl w:val="0"/>
                <w:numId w:val="18"/>
              </w:numPr>
              <w:ind w:left="426" w:hanging="426"/>
            </w:pPr>
            <w:r>
              <w:t>Dobré prepojenie s lokálnym trhom práce a zamestnávateľmi</w:t>
            </w:r>
          </w:p>
          <w:p w14:paraId="0CADAA29" w14:textId="77777777" w:rsidR="00E76085" w:rsidRPr="002E42F6" w:rsidRDefault="00E76085" w:rsidP="00865E38">
            <w:pPr>
              <w:pStyle w:val="ListParagraph"/>
              <w:numPr>
                <w:ilvl w:val="0"/>
                <w:numId w:val="18"/>
              </w:numPr>
              <w:ind w:left="426" w:hanging="426"/>
            </w:pPr>
            <w:r>
              <w:t>Jednotné metodické riadenie a jednotná kvalita služby</w:t>
            </w:r>
          </w:p>
        </w:tc>
        <w:tc>
          <w:tcPr>
            <w:tcW w:w="4788" w:type="dxa"/>
          </w:tcPr>
          <w:p w14:paraId="0CADAA2A" w14:textId="77777777" w:rsidR="00E76085" w:rsidRDefault="00E76085" w:rsidP="00865E38">
            <w:pPr>
              <w:pStyle w:val="ListParagraph"/>
              <w:numPr>
                <w:ilvl w:val="0"/>
                <w:numId w:val="18"/>
              </w:numPr>
              <w:ind w:left="457" w:hanging="425"/>
            </w:pPr>
            <w:r>
              <w:t>Zlé vnímanie služieb zamestnanosti očami verejnosti (riziko nedostatočnej príťažlivosti)</w:t>
            </w:r>
          </w:p>
          <w:p w14:paraId="0CADAA2B" w14:textId="77777777" w:rsidR="00E76085" w:rsidRDefault="00E76085" w:rsidP="00865E38">
            <w:pPr>
              <w:pStyle w:val="ListParagraph"/>
              <w:numPr>
                <w:ilvl w:val="0"/>
                <w:numId w:val="18"/>
              </w:numPr>
              <w:ind w:left="457" w:hanging="425"/>
            </w:pPr>
            <w:r>
              <w:t>Vysoká administratívna záťaž z dôvodu byrokratického riadenia</w:t>
            </w:r>
          </w:p>
          <w:p w14:paraId="0CADAA2C" w14:textId="77777777" w:rsidR="00E76085" w:rsidRDefault="00E76085" w:rsidP="00865E38">
            <w:pPr>
              <w:pStyle w:val="ListParagraph"/>
              <w:numPr>
                <w:ilvl w:val="0"/>
                <w:numId w:val="18"/>
              </w:numPr>
              <w:ind w:left="457" w:hanging="425"/>
            </w:pPr>
            <w:r>
              <w:t>Súčasné priestorové a materiálne kapacity mnohých úradov práce, sociálnych vecí a rodiny nie sú postačujúce</w:t>
            </w:r>
          </w:p>
          <w:p w14:paraId="0CADAA2D" w14:textId="77777777" w:rsidR="00326253" w:rsidRPr="00D04633" w:rsidRDefault="00607497" w:rsidP="00865E38">
            <w:pPr>
              <w:pStyle w:val="ListParagraph"/>
              <w:numPr>
                <w:ilvl w:val="0"/>
                <w:numId w:val="18"/>
              </w:numPr>
              <w:ind w:left="457" w:hanging="425"/>
            </w:pPr>
            <w:r>
              <w:t>Logika vopred stanovených merateľných ukazovateľov</w:t>
            </w:r>
          </w:p>
        </w:tc>
      </w:tr>
    </w:tbl>
    <w:p w14:paraId="0CADAA2F" w14:textId="77777777" w:rsidR="00E76085" w:rsidRPr="00617D77" w:rsidRDefault="00E76085" w:rsidP="00096B9B">
      <w:pPr>
        <w:spacing w:line="240" w:lineRule="auto"/>
        <w:jc w:val="both"/>
        <w:rPr>
          <w:lang w:val="sk-SK"/>
        </w:rPr>
      </w:pPr>
    </w:p>
    <w:p w14:paraId="0CADAA30" w14:textId="77777777" w:rsidR="00AE580E" w:rsidRDefault="002D5243" w:rsidP="00FF787C">
      <w:pPr>
        <w:pStyle w:val="Heading5"/>
        <w:rPr>
          <w:lang w:val="sk-SK"/>
        </w:rPr>
      </w:pPr>
      <w:r>
        <w:rPr>
          <w:lang w:val="sk-SK"/>
        </w:rPr>
        <w:t>B: Kariérové poradenstvo pre dospelých zabezpečené formou verejno-súkromných partnerstiev (dopytových projektov)</w:t>
      </w:r>
    </w:p>
    <w:p w14:paraId="0CADAA31" w14:textId="77777777" w:rsidR="001C10F6" w:rsidRDefault="0061791A" w:rsidP="00904F81">
      <w:pPr>
        <w:jc w:val="both"/>
        <w:rPr>
          <w:lang w:val="sk-SK"/>
        </w:rPr>
      </w:pPr>
      <w:r w:rsidRPr="00562C39">
        <w:rPr>
          <w:u w:val="single"/>
          <w:lang w:val="sk-SK"/>
        </w:rPr>
        <w:t>Východiská</w:t>
      </w:r>
      <w:r>
        <w:rPr>
          <w:b/>
          <w:lang w:val="sk-SK"/>
        </w:rPr>
        <w:t xml:space="preserve">: </w:t>
      </w:r>
      <w:r w:rsidR="001B0C1A">
        <w:rPr>
          <w:lang w:val="sk-SK"/>
        </w:rPr>
        <w:t xml:space="preserve">V tomto variante </w:t>
      </w:r>
      <w:r w:rsidR="00C96269">
        <w:rPr>
          <w:lang w:val="sk-SK"/>
        </w:rPr>
        <w:t xml:space="preserve">sú služby kariérového poradenstva zabezpečené </w:t>
      </w:r>
      <w:r w:rsidR="006D685C">
        <w:rPr>
          <w:lang w:val="sk-SK"/>
        </w:rPr>
        <w:t xml:space="preserve">regionálnymi </w:t>
      </w:r>
      <w:r w:rsidR="00C96269">
        <w:rPr>
          <w:lang w:val="sk-SK"/>
        </w:rPr>
        <w:t>dodávateľmi na základe verejnej súťaže</w:t>
      </w:r>
      <w:r w:rsidR="0083683E">
        <w:rPr>
          <w:lang w:val="sk-SK"/>
        </w:rPr>
        <w:t xml:space="preserve"> alebo dopytových výziev</w:t>
      </w:r>
      <w:r w:rsidR="0037204D">
        <w:rPr>
          <w:lang w:val="sk-SK"/>
        </w:rPr>
        <w:t xml:space="preserve">, pričom podporné procesy sú </w:t>
      </w:r>
      <w:r w:rsidR="0037204D">
        <w:rPr>
          <w:lang w:val="sk-SK"/>
        </w:rPr>
        <w:lastRenderedPageBreak/>
        <w:t>zabezpečené vytvoreným koordinačným orgánom.</w:t>
      </w:r>
      <w:r w:rsidR="0083683E">
        <w:rPr>
          <w:lang w:val="sk-SK"/>
        </w:rPr>
        <w:t xml:space="preserve"> </w:t>
      </w:r>
      <w:r w:rsidR="00474222">
        <w:rPr>
          <w:lang w:val="sk-SK"/>
        </w:rPr>
        <w:t xml:space="preserve">Výstupom </w:t>
      </w:r>
      <w:r w:rsidR="00EF738E">
        <w:rPr>
          <w:lang w:val="sk-SK"/>
        </w:rPr>
        <w:t xml:space="preserve">poskytnutej </w:t>
      </w:r>
      <w:r w:rsidR="00474222">
        <w:rPr>
          <w:lang w:val="sk-SK"/>
        </w:rPr>
        <w:t>služby je kariérový plán klienta, ktorý obsahuje konkrétne kroky pre dosiahnutie profesijných a vzdelávacích cieľov.</w:t>
      </w:r>
      <w:r w:rsidR="00467829">
        <w:rPr>
          <w:lang w:val="sk-SK"/>
        </w:rPr>
        <w:t xml:space="preserve"> </w:t>
      </w:r>
    </w:p>
    <w:p w14:paraId="0CADAA32" w14:textId="77777777" w:rsidR="00E9589E" w:rsidRDefault="00455406" w:rsidP="00904F81">
      <w:pPr>
        <w:jc w:val="both"/>
        <w:rPr>
          <w:lang w:val="sk-SK"/>
        </w:rPr>
      </w:pPr>
      <w:r w:rsidRPr="00562C39">
        <w:rPr>
          <w:u w:val="single"/>
          <w:lang w:val="sk-SK"/>
        </w:rPr>
        <w:t>Proces realizácie</w:t>
      </w:r>
      <w:r>
        <w:rPr>
          <w:b/>
          <w:lang w:val="sk-SK"/>
        </w:rPr>
        <w:t>:</w:t>
      </w:r>
      <w:r w:rsidR="00BD00D4">
        <w:rPr>
          <w:b/>
          <w:lang w:val="sk-SK"/>
        </w:rPr>
        <w:t xml:space="preserve"> </w:t>
      </w:r>
      <w:r w:rsidR="00643A54">
        <w:rPr>
          <w:lang w:val="sk-SK"/>
        </w:rPr>
        <w:t xml:space="preserve">Ústredná </w:t>
      </w:r>
      <w:r w:rsidR="007764AD">
        <w:rPr>
          <w:lang w:val="sk-SK"/>
        </w:rPr>
        <w:t>štátn</w:t>
      </w:r>
      <w:r w:rsidR="00643A54">
        <w:rPr>
          <w:lang w:val="sk-SK"/>
        </w:rPr>
        <w:t>a</w:t>
      </w:r>
      <w:r w:rsidR="007764AD">
        <w:rPr>
          <w:lang w:val="sk-SK"/>
        </w:rPr>
        <w:t xml:space="preserve"> správ</w:t>
      </w:r>
      <w:r w:rsidR="00643A54">
        <w:rPr>
          <w:lang w:val="sk-SK"/>
        </w:rPr>
        <w:t>a</w:t>
      </w:r>
      <w:r w:rsidR="007764AD">
        <w:rPr>
          <w:lang w:val="sk-SK"/>
        </w:rPr>
        <w:t xml:space="preserve"> </w:t>
      </w:r>
      <w:r w:rsidR="007C4C98">
        <w:rPr>
          <w:lang w:val="sk-SK"/>
        </w:rPr>
        <w:t>prostredníctvom</w:t>
      </w:r>
      <w:r w:rsidR="00643A54">
        <w:rPr>
          <w:lang w:val="sk-SK"/>
        </w:rPr>
        <w:t xml:space="preserve"> verejn</w:t>
      </w:r>
      <w:r w:rsidR="007C4C98">
        <w:rPr>
          <w:lang w:val="sk-SK"/>
        </w:rPr>
        <w:t>ej</w:t>
      </w:r>
      <w:r w:rsidR="00643A54">
        <w:rPr>
          <w:lang w:val="sk-SK"/>
        </w:rPr>
        <w:t xml:space="preserve"> súťaž</w:t>
      </w:r>
      <w:r w:rsidR="007C4C98">
        <w:rPr>
          <w:lang w:val="sk-SK"/>
        </w:rPr>
        <w:t>e</w:t>
      </w:r>
      <w:r w:rsidR="000B4077">
        <w:rPr>
          <w:lang w:val="sk-SK"/>
        </w:rPr>
        <w:t xml:space="preserve"> (alternatívne dopytov</w:t>
      </w:r>
      <w:r w:rsidR="007C4C98">
        <w:rPr>
          <w:lang w:val="sk-SK"/>
        </w:rPr>
        <w:t>ej výzvy</w:t>
      </w:r>
      <w:r w:rsidR="000B4077">
        <w:rPr>
          <w:lang w:val="sk-SK"/>
        </w:rPr>
        <w:t xml:space="preserve">) </w:t>
      </w:r>
      <w:r w:rsidR="007C4C98">
        <w:rPr>
          <w:lang w:val="sk-SK"/>
        </w:rPr>
        <w:t xml:space="preserve">zabezpečí </w:t>
      </w:r>
      <w:r w:rsidR="00B1226F">
        <w:rPr>
          <w:lang w:val="sk-SK"/>
        </w:rPr>
        <w:t xml:space="preserve">poskytovateľov kariérového poradenstva na úrovni </w:t>
      </w:r>
      <w:r w:rsidR="003633E8">
        <w:rPr>
          <w:lang w:val="sk-SK"/>
        </w:rPr>
        <w:t>vyšších územných celkov</w:t>
      </w:r>
      <w:r w:rsidR="00B1226F">
        <w:rPr>
          <w:lang w:val="sk-SK"/>
        </w:rPr>
        <w:t>.</w:t>
      </w:r>
      <w:r w:rsidR="003633E8">
        <w:rPr>
          <w:lang w:val="sk-SK"/>
        </w:rPr>
        <w:t xml:space="preserve"> Súťažné podmienky </w:t>
      </w:r>
      <w:r w:rsidR="0031142E">
        <w:rPr>
          <w:lang w:val="sk-SK"/>
        </w:rPr>
        <w:t xml:space="preserve">budú požadovať </w:t>
      </w:r>
      <w:r w:rsidR="00F462F1">
        <w:rPr>
          <w:lang w:val="sk-SK"/>
        </w:rPr>
        <w:t>preukázanie kvalitatívnych požiadaviek</w:t>
      </w:r>
      <w:r w:rsidR="003633E8">
        <w:rPr>
          <w:lang w:val="sk-SK"/>
        </w:rPr>
        <w:t xml:space="preserve"> </w:t>
      </w:r>
      <w:r w:rsidR="00F462F1">
        <w:rPr>
          <w:lang w:val="sk-SK"/>
        </w:rPr>
        <w:t>na poskytovateľa</w:t>
      </w:r>
      <w:r w:rsidR="00DD2FB3">
        <w:rPr>
          <w:lang w:val="sk-SK"/>
        </w:rPr>
        <w:t xml:space="preserve"> (resp. určitú formu akreditácie)</w:t>
      </w:r>
      <w:r w:rsidR="00086780">
        <w:rPr>
          <w:lang w:val="sk-SK"/>
        </w:rPr>
        <w:t>,</w:t>
      </w:r>
      <w:r w:rsidR="00F462F1">
        <w:rPr>
          <w:lang w:val="sk-SK"/>
        </w:rPr>
        <w:t xml:space="preserve"> územné pokrytie </w:t>
      </w:r>
      <w:r w:rsidR="00E025EB">
        <w:rPr>
          <w:lang w:val="sk-SK"/>
        </w:rPr>
        <w:t>kraja (prostredníctvom subdodávateľov)</w:t>
      </w:r>
      <w:r w:rsidR="00086780">
        <w:rPr>
          <w:lang w:val="sk-SK"/>
        </w:rPr>
        <w:t xml:space="preserve"> a minimálne požiadavky </w:t>
      </w:r>
      <w:r w:rsidR="00574A73">
        <w:rPr>
          <w:lang w:val="sk-SK"/>
        </w:rPr>
        <w:t>poskytovanej služby</w:t>
      </w:r>
      <w:r w:rsidR="00086780">
        <w:rPr>
          <w:lang w:val="sk-SK"/>
        </w:rPr>
        <w:t xml:space="preserve"> (</w:t>
      </w:r>
      <w:r w:rsidR="00574A73">
        <w:rPr>
          <w:lang w:val="sk-SK"/>
        </w:rPr>
        <w:t>minimálny počet a trvanie stretnutí pre rôzne cieľové skupiny)</w:t>
      </w:r>
      <w:r w:rsidR="00F462F1">
        <w:rPr>
          <w:lang w:val="sk-SK"/>
        </w:rPr>
        <w:t>.</w:t>
      </w:r>
      <w:r w:rsidR="00DB260B">
        <w:rPr>
          <w:lang w:val="sk-SK"/>
        </w:rPr>
        <w:t xml:space="preserve"> </w:t>
      </w:r>
      <w:r w:rsidR="00E5227C">
        <w:rPr>
          <w:lang w:val="sk-SK"/>
        </w:rPr>
        <w:t xml:space="preserve">Zriadený koordinačný orgán zabezpečuje </w:t>
      </w:r>
      <w:r w:rsidR="00E5227C" w:rsidRPr="006D2376">
        <w:rPr>
          <w:lang w:val="sk-SK"/>
        </w:rPr>
        <w:t>jednotnú značku a propagáciu služby,</w:t>
      </w:r>
      <w:r w:rsidR="00E5227C">
        <w:rPr>
          <w:lang w:val="sk-SK"/>
        </w:rPr>
        <w:t xml:space="preserve"> </w:t>
      </w:r>
      <w:r w:rsidR="00E5227C" w:rsidRPr="006D2376">
        <w:rPr>
          <w:lang w:val="sk-SK"/>
        </w:rPr>
        <w:t>jednotné telefónne číslo</w:t>
      </w:r>
      <w:r w:rsidR="00E5227C">
        <w:rPr>
          <w:lang w:val="sk-SK"/>
        </w:rPr>
        <w:t xml:space="preserve"> a </w:t>
      </w:r>
      <w:r w:rsidR="00E5227C" w:rsidRPr="006D2376">
        <w:rPr>
          <w:lang w:val="sk-SK"/>
        </w:rPr>
        <w:t>webstránku</w:t>
      </w:r>
      <w:r w:rsidR="00E5227C">
        <w:rPr>
          <w:lang w:val="sk-SK"/>
        </w:rPr>
        <w:t xml:space="preserve">, </w:t>
      </w:r>
      <w:r w:rsidR="00E5227C" w:rsidRPr="006D2376">
        <w:rPr>
          <w:lang w:val="sk-SK"/>
        </w:rPr>
        <w:t>kontrolu kvality</w:t>
      </w:r>
      <w:r w:rsidR="00E5227C">
        <w:rPr>
          <w:lang w:val="sk-SK"/>
        </w:rPr>
        <w:t xml:space="preserve"> a</w:t>
      </w:r>
      <w:r w:rsidR="00E5227C" w:rsidRPr="006D2376">
        <w:rPr>
          <w:lang w:val="sk-SK"/>
        </w:rPr>
        <w:t xml:space="preserve"> riešenie sťažností</w:t>
      </w:r>
      <w:r w:rsidR="00CD5701">
        <w:rPr>
          <w:lang w:val="sk-SK"/>
        </w:rPr>
        <w:t xml:space="preserve"> (ako vo variante A)</w:t>
      </w:r>
      <w:r w:rsidR="00E5227C" w:rsidRPr="006D2376">
        <w:rPr>
          <w:lang w:val="sk-SK"/>
        </w:rPr>
        <w:t>.</w:t>
      </w:r>
      <w:r w:rsidR="00E5227C">
        <w:rPr>
          <w:lang w:val="sk-SK"/>
        </w:rPr>
        <w:t xml:space="preserve"> </w:t>
      </w:r>
    </w:p>
    <w:p w14:paraId="0CADAA33" w14:textId="77777777" w:rsidR="00F72B5F" w:rsidRDefault="00F72B5F" w:rsidP="00904F81">
      <w:pPr>
        <w:jc w:val="both"/>
        <w:rPr>
          <w:lang w:val="sk-SK"/>
        </w:rPr>
      </w:pPr>
      <w:r w:rsidRPr="00562C39">
        <w:rPr>
          <w:u w:val="single"/>
          <w:lang w:val="sk-SK"/>
        </w:rPr>
        <w:t>Financovanie</w:t>
      </w:r>
      <w:r>
        <w:rPr>
          <w:b/>
          <w:lang w:val="sk-SK"/>
        </w:rPr>
        <w:t xml:space="preserve">: </w:t>
      </w:r>
      <w:r w:rsidRPr="00F72B5F">
        <w:rPr>
          <w:lang w:val="sk-SK"/>
        </w:rPr>
        <w:t>Financova</w:t>
      </w:r>
      <w:r>
        <w:rPr>
          <w:lang w:val="sk-SK"/>
        </w:rPr>
        <w:t xml:space="preserve">nie je </w:t>
      </w:r>
      <w:r w:rsidRPr="00AF074A">
        <w:rPr>
          <w:b/>
          <w:lang w:val="sk-SK"/>
        </w:rPr>
        <w:t xml:space="preserve">viazané na </w:t>
      </w:r>
      <w:r w:rsidR="00B458D0" w:rsidRPr="00AF074A">
        <w:rPr>
          <w:b/>
          <w:lang w:val="sk-SK"/>
        </w:rPr>
        <w:t xml:space="preserve">výsledky dosiahnuté s </w:t>
      </w:r>
      <w:r w:rsidRPr="00AF074A">
        <w:rPr>
          <w:b/>
          <w:lang w:val="sk-SK"/>
        </w:rPr>
        <w:t>individuáln</w:t>
      </w:r>
      <w:r w:rsidR="00B458D0" w:rsidRPr="00AF074A">
        <w:rPr>
          <w:b/>
          <w:lang w:val="sk-SK"/>
        </w:rPr>
        <w:t>ym</w:t>
      </w:r>
      <w:r w:rsidRPr="00AF074A">
        <w:rPr>
          <w:b/>
          <w:lang w:val="sk-SK"/>
        </w:rPr>
        <w:t xml:space="preserve"> klient</w:t>
      </w:r>
      <w:r w:rsidR="00B458D0" w:rsidRPr="00AF074A">
        <w:rPr>
          <w:b/>
          <w:lang w:val="sk-SK"/>
        </w:rPr>
        <w:t>om</w:t>
      </w:r>
      <w:r w:rsidR="00B458D0">
        <w:rPr>
          <w:lang w:val="sk-SK"/>
        </w:rPr>
        <w:t xml:space="preserve"> </w:t>
      </w:r>
      <w:r w:rsidR="00AF074A">
        <w:rPr>
          <w:lang w:val="sk-SK"/>
        </w:rPr>
        <w:t xml:space="preserve">a odstupňované </w:t>
      </w:r>
      <w:r w:rsidR="002D0BAD">
        <w:rPr>
          <w:lang w:val="sk-SK"/>
        </w:rPr>
        <w:t xml:space="preserve">aj </w:t>
      </w:r>
      <w:r w:rsidR="00AF074A">
        <w:rPr>
          <w:lang w:val="sk-SK"/>
        </w:rPr>
        <w:t xml:space="preserve">podľa </w:t>
      </w:r>
      <w:r w:rsidR="00857737">
        <w:rPr>
          <w:lang w:val="sk-SK"/>
        </w:rPr>
        <w:t>typu klienta (t.</w:t>
      </w:r>
      <w:r w:rsidR="001D0562">
        <w:rPr>
          <w:lang w:val="sk-SK"/>
        </w:rPr>
        <w:t xml:space="preserve"> </w:t>
      </w:r>
      <w:r w:rsidR="00857737">
        <w:rPr>
          <w:lang w:val="sk-SK"/>
        </w:rPr>
        <w:t xml:space="preserve">j. </w:t>
      </w:r>
      <w:r w:rsidR="00917DC5">
        <w:rPr>
          <w:lang w:val="sk-SK"/>
        </w:rPr>
        <w:t>vyššia</w:t>
      </w:r>
      <w:r w:rsidR="00857737">
        <w:rPr>
          <w:lang w:val="sk-SK"/>
        </w:rPr>
        <w:t xml:space="preserve"> </w:t>
      </w:r>
      <w:r w:rsidR="00CB71C6">
        <w:rPr>
          <w:lang w:val="sk-SK"/>
        </w:rPr>
        <w:t>platba</w:t>
      </w:r>
      <w:r w:rsidR="00917DC5">
        <w:rPr>
          <w:lang w:val="sk-SK"/>
        </w:rPr>
        <w:t xml:space="preserve"> </w:t>
      </w:r>
      <w:r w:rsidR="00F96394">
        <w:rPr>
          <w:lang w:val="sk-SK"/>
        </w:rPr>
        <w:t>za službu poskytnutú</w:t>
      </w:r>
      <w:r w:rsidR="00857737">
        <w:rPr>
          <w:lang w:val="sk-SK"/>
        </w:rPr>
        <w:t xml:space="preserve"> </w:t>
      </w:r>
      <w:r w:rsidR="00AF074A">
        <w:rPr>
          <w:lang w:val="sk-SK"/>
        </w:rPr>
        <w:t>prioritným klientom, t.</w:t>
      </w:r>
      <w:r w:rsidR="001D0562">
        <w:rPr>
          <w:lang w:val="sk-SK"/>
        </w:rPr>
        <w:t xml:space="preserve"> </w:t>
      </w:r>
      <w:r w:rsidR="00AF074A">
        <w:rPr>
          <w:lang w:val="sk-SK"/>
        </w:rPr>
        <w:t xml:space="preserve">j. (napr. </w:t>
      </w:r>
      <w:r w:rsidR="00AF074A" w:rsidRPr="00CD335F">
        <w:rPr>
          <w:lang w:val="sk-SK"/>
        </w:rPr>
        <w:t xml:space="preserve">NEETi, osoby s nízkou kvalifikáciou, </w:t>
      </w:r>
      <w:r w:rsidR="00AF074A">
        <w:rPr>
          <w:lang w:val="sk-SK"/>
        </w:rPr>
        <w:t xml:space="preserve">ľudia so znevýhodnením, </w:t>
      </w:r>
      <w:r w:rsidR="00AF074A" w:rsidRPr="00CD335F">
        <w:rPr>
          <w:lang w:val="sk-SK"/>
        </w:rPr>
        <w:t>nezamestnaní</w:t>
      </w:r>
      <w:r w:rsidR="00AF074A">
        <w:rPr>
          <w:lang w:val="sk-SK"/>
        </w:rPr>
        <w:t xml:space="preserve"> mimo evidencie úradov práce, </w:t>
      </w:r>
      <w:r w:rsidR="002D0BAD">
        <w:rPr>
          <w:lang w:val="sk-SK"/>
        </w:rPr>
        <w:t>osoby na rodičovskej dovolenke a pod</w:t>
      </w:r>
      <w:r w:rsidR="00AF074A">
        <w:rPr>
          <w:lang w:val="sk-SK"/>
        </w:rPr>
        <w:t>.</w:t>
      </w:r>
      <w:r w:rsidR="001D0562">
        <w:rPr>
          <w:lang w:val="sk-SK"/>
        </w:rPr>
        <w:t xml:space="preserve"> .</w:t>
      </w:r>
      <w:r w:rsidR="00AF074A">
        <w:rPr>
          <w:lang w:val="sk-SK"/>
        </w:rPr>
        <w:t>..</w:t>
      </w:r>
      <w:r w:rsidR="00857737">
        <w:rPr>
          <w:lang w:val="sk-SK"/>
        </w:rPr>
        <w:t>)</w:t>
      </w:r>
      <w:r w:rsidR="002D0BAD">
        <w:rPr>
          <w:lang w:val="sk-SK"/>
        </w:rPr>
        <w:t xml:space="preserve">. S klientom môže dodávateľ preukázať tri </w:t>
      </w:r>
      <w:r w:rsidR="00C83128">
        <w:rPr>
          <w:lang w:val="sk-SK"/>
        </w:rPr>
        <w:t>typy</w:t>
      </w:r>
      <w:r w:rsidR="002D0BAD">
        <w:rPr>
          <w:lang w:val="sk-SK"/>
        </w:rPr>
        <w:t xml:space="preserve"> výsledkov:</w:t>
      </w:r>
    </w:p>
    <w:p w14:paraId="0CADAA34" w14:textId="77777777" w:rsidR="00857737" w:rsidRDefault="001C2897" w:rsidP="00737986">
      <w:pPr>
        <w:pStyle w:val="ListParagraph"/>
        <w:numPr>
          <w:ilvl w:val="0"/>
          <w:numId w:val="20"/>
        </w:numPr>
        <w:jc w:val="both"/>
        <w:rPr>
          <w:lang w:val="sk-SK"/>
        </w:rPr>
      </w:pPr>
      <w:r>
        <w:rPr>
          <w:lang w:val="sk-SK"/>
        </w:rPr>
        <w:t>ú</w:t>
      </w:r>
      <w:r w:rsidR="00857737" w:rsidRPr="00857737">
        <w:rPr>
          <w:lang w:val="sk-SK"/>
        </w:rPr>
        <w:t>roveň:</w:t>
      </w:r>
      <w:r w:rsidR="00072EAC">
        <w:rPr>
          <w:lang w:val="sk-SK"/>
        </w:rPr>
        <w:t xml:space="preserve"> </w:t>
      </w:r>
      <w:r w:rsidR="00857737" w:rsidRPr="00857737">
        <w:rPr>
          <w:lang w:val="sk-SK"/>
        </w:rPr>
        <w:t>“Spokojnosť klienta” je dokazovan</w:t>
      </w:r>
      <w:r>
        <w:rPr>
          <w:lang w:val="sk-SK"/>
        </w:rPr>
        <w:t>á</w:t>
      </w:r>
      <w:r w:rsidR="00857737" w:rsidRPr="00857737">
        <w:rPr>
          <w:lang w:val="sk-SK"/>
        </w:rPr>
        <w:t xml:space="preserve"> </w:t>
      </w:r>
      <w:r w:rsidR="00475122">
        <w:rPr>
          <w:lang w:val="sk-SK"/>
        </w:rPr>
        <w:t xml:space="preserve">identifikačnými údajmi klienta, vyplneným </w:t>
      </w:r>
      <w:r w:rsidR="00857737" w:rsidRPr="00857737">
        <w:rPr>
          <w:lang w:val="sk-SK"/>
        </w:rPr>
        <w:t xml:space="preserve">dotazníkom spokojnosti a vypracovaním individuálneho kariérového plánu </w:t>
      </w:r>
      <w:r w:rsidR="00475122">
        <w:rPr>
          <w:lang w:val="sk-SK"/>
        </w:rPr>
        <w:t>(v</w:t>
      </w:r>
      <w:r w:rsidR="00857737" w:rsidRPr="00857737">
        <w:rPr>
          <w:lang w:val="sk-SK"/>
        </w:rPr>
        <w:t xml:space="preserve"> prípade telefonického kontaktu musí klient dostať mailom alebo poštou dohodnutý kariérový plán</w:t>
      </w:r>
      <w:r w:rsidR="00475122">
        <w:rPr>
          <w:lang w:val="sk-SK"/>
        </w:rPr>
        <w:t>)</w:t>
      </w:r>
      <w:r w:rsidR="00857737" w:rsidRPr="00857737">
        <w:rPr>
          <w:lang w:val="sk-SK"/>
        </w:rPr>
        <w:t xml:space="preserve">. </w:t>
      </w:r>
    </w:p>
    <w:p w14:paraId="0CADAA35" w14:textId="776B3C68" w:rsidR="001C2897" w:rsidRDefault="001C2897" w:rsidP="00F121A4">
      <w:pPr>
        <w:pStyle w:val="ListParagraph"/>
        <w:numPr>
          <w:ilvl w:val="0"/>
          <w:numId w:val="20"/>
        </w:numPr>
        <w:jc w:val="both"/>
        <w:rPr>
          <w:lang w:val="sk-SK"/>
        </w:rPr>
      </w:pPr>
      <w:r>
        <w:rPr>
          <w:lang w:val="sk-SK"/>
        </w:rPr>
        <w:t>úroveň: „Riadenie kariéry“</w:t>
      </w:r>
      <w:r w:rsidR="00F121A4">
        <w:rPr>
          <w:lang w:val="sk-SK"/>
        </w:rPr>
        <w:t xml:space="preserve"> je dosiahnutá po preukázaní nasledovných zmien do </w:t>
      </w:r>
      <w:r w:rsidR="005A3213">
        <w:rPr>
          <w:lang w:val="sk-SK"/>
        </w:rPr>
        <w:t>troch mesiacov od poskytnutia služby:</w:t>
      </w:r>
      <w:r w:rsidR="00F121A4">
        <w:rPr>
          <w:lang w:val="sk-SK"/>
        </w:rPr>
        <w:t xml:space="preserve"> </w:t>
      </w:r>
      <w:r w:rsidR="005A3213">
        <w:rPr>
          <w:lang w:val="sk-SK"/>
        </w:rPr>
        <w:t xml:space="preserve">účasť na </w:t>
      </w:r>
      <w:r w:rsidR="00F121A4" w:rsidRPr="00F121A4">
        <w:rPr>
          <w:lang w:val="sk-SK"/>
        </w:rPr>
        <w:t>doborovoľníck</w:t>
      </w:r>
      <w:r w:rsidR="005A3213">
        <w:rPr>
          <w:lang w:val="sk-SK"/>
        </w:rPr>
        <w:t>ej</w:t>
      </w:r>
      <w:r w:rsidR="00F121A4" w:rsidRPr="00F121A4">
        <w:rPr>
          <w:lang w:val="sk-SK"/>
        </w:rPr>
        <w:t xml:space="preserve"> prác</w:t>
      </w:r>
      <w:r w:rsidR="005A3213">
        <w:rPr>
          <w:lang w:val="sk-SK"/>
        </w:rPr>
        <w:t>i</w:t>
      </w:r>
      <w:r w:rsidR="00F121A4" w:rsidRPr="00F121A4">
        <w:rPr>
          <w:lang w:val="sk-SK"/>
        </w:rPr>
        <w:t>,</w:t>
      </w:r>
      <w:r w:rsidR="005A3213">
        <w:rPr>
          <w:lang w:val="sk-SK"/>
        </w:rPr>
        <w:t xml:space="preserve"> </w:t>
      </w:r>
      <w:r w:rsidR="00F121A4" w:rsidRPr="00F121A4">
        <w:rPr>
          <w:lang w:val="sk-SK"/>
        </w:rPr>
        <w:t xml:space="preserve">prihlásenie sa na kurz, </w:t>
      </w:r>
      <w:r w:rsidR="005A3213">
        <w:rPr>
          <w:lang w:val="sk-SK"/>
        </w:rPr>
        <w:t xml:space="preserve">vytvorenie profilu a </w:t>
      </w:r>
      <w:r w:rsidR="00F121A4" w:rsidRPr="00F121A4">
        <w:rPr>
          <w:lang w:val="sk-SK"/>
        </w:rPr>
        <w:t>nahratie životopis</w:t>
      </w:r>
      <w:r w:rsidR="005A3213">
        <w:rPr>
          <w:lang w:val="sk-SK"/>
        </w:rPr>
        <w:t>u</w:t>
      </w:r>
      <w:r w:rsidR="00F121A4" w:rsidRPr="00F121A4">
        <w:rPr>
          <w:lang w:val="sk-SK"/>
        </w:rPr>
        <w:t xml:space="preserve"> na </w:t>
      </w:r>
      <w:r w:rsidR="005A3213">
        <w:rPr>
          <w:lang w:val="sk-SK"/>
        </w:rPr>
        <w:t>portál</w:t>
      </w:r>
      <w:r w:rsidR="001D0562">
        <w:rPr>
          <w:lang w:val="sk-SK"/>
        </w:rPr>
        <w:t>i</w:t>
      </w:r>
      <w:r w:rsidR="005A3213">
        <w:rPr>
          <w:lang w:val="sk-SK"/>
        </w:rPr>
        <w:t xml:space="preserve"> </w:t>
      </w:r>
      <w:r w:rsidR="00F121A4" w:rsidRPr="00F121A4">
        <w:rPr>
          <w:lang w:val="sk-SK"/>
        </w:rPr>
        <w:t>pre hľadanie zamestnania, vypracovanie životopisu, využitie ďalších poradenských služieb</w:t>
      </w:r>
      <w:r w:rsidR="005A3213">
        <w:rPr>
          <w:lang w:val="sk-SK"/>
        </w:rPr>
        <w:t xml:space="preserve"> alebo nástrojov</w:t>
      </w:r>
      <w:r w:rsidR="00200F32">
        <w:rPr>
          <w:lang w:val="sk-SK"/>
        </w:rPr>
        <w:t xml:space="preserve"> aktívnej </w:t>
      </w:r>
      <w:proofErr w:type="spellStart"/>
      <w:r w:rsidR="00200F32">
        <w:rPr>
          <w:lang w:val="sk-SK"/>
        </w:rPr>
        <w:t>politky</w:t>
      </w:r>
      <w:proofErr w:type="spellEnd"/>
      <w:r w:rsidR="00200F32">
        <w:rPr>
          <w:lang w:val="sk-SK"/>
        </w:rPr>
        <w:t xml:space="preserve"> trhu práce</w:t>
      </w:r>
      <w:r w:rsidR="005A3213">
        <w:rPr>
          <w:lang w:val="sk-SK"/>
        </w:rPr>
        <w:t xml:space="preserve"> (v prípade nezamestnaného)</w:t>
      </w:r>
      <w:r w:rsidR="00F121A4" w:rsidRPr="00F121A4">
        <w:rPr>
          <w:lang w:val="sk-SK"/>
        </w:rPr>
        <w:t xml:space="preserve">, vytvorenie profilu na </w:t>
      </w:r>
      <w:r w:rsidR="005A3213">
        <w:rPr>
          <w:lang w:val="sk-SK"/>
        </w:rPr>
        <w:t xml:space="preserve">sociálnej sieti </w:t>
      </w:r>
      <w:r w:rsidR="00F121A4" w:rsidRPr="00F121A4">
        <w:rPr>
          <w:lang w:val="sk-SK"/>
        </w:rPr>
        <w:t>LinkedIN a podobne.</w:t>
      </w:r>
    </w:p>
    <w:p w14:paraId="0CADAA36" w14:textId="77777777" w:rsidR="00264143" w:rsidRDefault="00E025EB" w:rsidP="00072EAC">
      <w:pPr>
        <w:pStyle w:val="ListParagraph"/>
        <w:numPr>
          <w:ilvl w:val="0"/>
          <w:numId w:val="20"/>
        </w:numPr>
        <w:jc w:val="both"/>
        <w:rPr>
          <w:lang w:val="sk-SK"/>
        </w:rPr>
      </w:pPr>
      <w:r>
        <w:rPr>
          <w:lang w:val="sk-SK"/>
        </w:rPr>
        <w:t>ú</w:t>
      </w:r>
      <w:r w:rsidR="003D1BFB">
        <w:rPr>
          <w:lang w:val="sk-SK"/>
        </w:rPr>
        <w:t>roveň:</w:t>
      </w:r>
      <w:r w:rsidR="00072EAC">
        <w:rPr>
          <w:lang w:val="sk-SK"/>
        </w:rPr>
        <w:t xml:space="preserve"> </w:t>
      </w:r>
      <w:r w:rsidR="00857737" w:rsidRPr="00857737">
        <w:rPr>
          <w:lang w:val="sk-SK"/>
        </w:rPr>
        <w:t xml:space="preserve">“Zamestnanie, </w:t>
      </w:r>
      <w:r w:rsidR="00D82697">
        <w:rPr>
          <w:lang w:val="sk-SK"/>
        </w:rPr>
        <w:t xml:space="preserve">kariérny rast </w:t>
      </w:r>
      <w:r w:rsidR="00857737" w:rsidRPr="00857737">
        <w:rPr>
          <w:lang w:val="sk-SK"/>
        </w:rPr>
        <w:t xml:space="preserve">alebo </w:t>
      </w:r>
      <w:r w:rsidR="00D82697">
        <w:rPr>
          <w:lang w:val="sk-SK"/>
        </w:rPr>
        <w:t xml:space="preserve">účasť na </w:t>
      </w:r>
      <w:r w:rsidR="00857737" w:rsidRPr="00857737">
        <w:rPr>
          <w:lang w:val="sk-SK"/>
        </w:rPr>
        <w:t>vzdelávan</w:t>
      </w:r>
      <w:r w:rsidR="00D82697">
        <w:rPr>
          <w:lang w:val="sk-SK"/>
        </w:rPr>
        <w:t>í</w:t>
      </w:r>
      <w:r w:rsidR="00857737" w:rsidRPr="00857737">
        <w:rPr>
          <w:lang w:val="sk-SK"/>
        </w:rPr>
        <w:t>.” Dôkazom je  vždy dokument preukazujúci zmenu</w:t>
      </w:r>
      <w:r w:rsidR="00D82697">
        <w:rPr>
          <w:lang w:val="sk-SK"/>
        </w:rPr>
        <w:t>, ku ktorej musí dôjsť</w:t>
      </w:r>
      <w:r w:rsidR="00072EAC">
        <w:rPr>
          <w:lang w:val="sk-SK"/>
        </w:rPr>
        <w:t xml:space="preserve"> najneskôr do 6 mesiacov od </w:t>
      </w:r>
      <w:r w:rsidR="00D82697">
        <w:rPr>
          <w:lang w:val="sk-SK"/>
        </w:rPr>
        <w:t>poskytnutej služby</w:t>
      </w:r>
      <w:r w:rsidR="00857737" w:rsidRPr="00857737">
        <w:rPr>
          <w:lang w:val="sk-SK"/>
        </w:rPr>
        <w:t xml:space="preserve">. </w:t>
      </w:r>
    </w:p>
    <w:p w14:paraId="0CADAA37" w14:textId="77777777" w:rsidR="0004033A" w:rsidRDefault="00024656" w:rsidP="00D57B7D">
      <w:pPr>
        <w:jc w:val="both"/>
        <w:rPr>
          <w:lang w:val="sk-SK"/>
        </w:rPr>
      </w:pPr>
      <w:r>
        <w:rPr>
          <w:lang w:val="sk-SK"/>
        </w:rPr>
        <w:t xml:space="preserve">Platby sú dodávateľom odosielané </w:t>
      </w:r>
      <w:r w:rsidR="00CB71C6">
        <w:rPr>
          <w:lang w:val="sk-SK"/>
        </w:rPr>
        <w:t>na základe</w:t>
      </w:r>
      <w:r>
        <w:rPr>
          <w:lang w:val="sk-SK"/>
        </w:rPr>
        <w:t xml:space="preserve"> </w:t>
      </w:r>
      <w:r w:rsidR="00774E3B">
        <w:rPr>
          <w:lang w:val="sk-SK"/>
        </w:rPr>
        <w:t>polročného vyúčtovania</w:t>
      </w:r>
      <w:r w:rsidR="000D2995">
        <w:rPr>
          <w:lang w:val="sk-SK"/>
        </w:rPr>
        <w:t xml:space="preserve"> </w:t>
      </w:r>
      <w:r w:rsidR="00CB71C6">
        <w:rPr>
          <w:lang w:val="sk-SK"/>
        </w:rPr>
        <w:t xml:space="preserve">a zaslania </w:t>
      </w:r>
      <w:r w:rsidR="000D2995">
        <w:rPr>
          <w:lang w:val="sk-SK"/>
        </w:rPr>
        <w:t>podporných dokladov</w:t>
      </w:r>
      <w:r w:rsidR="00170BA7">
        <w:rPr>
          <w:lang w:val="sk-SK"/>
        </w:rPr>
        <w:t>.</w:t>
      </w:r>
      <w:r w:rsidR="008921E8" w:rsidRPr="008921E8">
        <w:rPr>
          <w:lang w:val="sk-SK"/>
        </w:rPr>
        <w:t xml:space="preserve"> </w:t>
      </w:r>
      <w:r w:rsidR="00C83128">
        <w:rPr>
          <w:lang w:val="sk-SK"/>
        </w:rPr>
        <w:t>Výsledky</w:t>
      </w:r>
      <w:r w:rsidR="008921E8" w:rsidRPr="008921E8">
        <w:rPr>
          <w:lang w:val="sk-SK"/>
        </w:rPr>
        <w:t xml:space="preserve"> môžu byť kumulované na jedného klienta</w:t>
      </w:r>
      <w:r w:rsidR="00C83128">
        <w:rPr>
          <w:lang w:val="sk-SK"/>
        </w:rPr>
        <w:t xml:space="preserve"> (t.</w:t>
      </w:r>
      <w:r w:rsidR="001D0562">
        <w:rPr>
          <w:lang w:val="sk-SK"/>
        </w:rPr>
        <w:t xml:space="preserve"> </w:t>
      </w:r>
      <w:r w:rsidR="00C83128">
        <w:rPr>
          <w:lang w:val="sk-SK"/>
        </w:rPr>
        <w:t xml:space="preserve">j. </w:t>
      </w:r>
      <w:r w:rsidR="002E2223">
        <w:rPr>
          <w:lang w:val="sk-SK"/>
        </w:rPr>
        <w:t>s jedným klientom môž</w:t>
      </w:r>
      <w:r w:rsidR="0096213C">
        <w:rPr>
          <w:lang w:val="sk-SK"/>
        </w:rPr>
        <w:t>e dodávateľ dosiahnuť</w:t>
      </w:r>
      <w:r w:rsidR="002E2223">
        <w:rPr>
          <w:lang w:val="sk-SK"/>
        </w:rPr>
        <w:t xml:space="preserve"> </w:t>
      </w:r>
      <w:r w:rsidR="0096213C">
        <w:rPr>
          <w:lang w:val="sk-SK"/>
        </w:rPr>
        <w:t>jeden</w:t>
      </w:r>
      <w:r w:rsidR="008E74C5">
        <w:rPr>
          <w:lang w:val="sk-SK"/>
        </w:rPr>
        <w:t xml:space="preserve"> až tri </w:t>
      </w:r>
      <w:r w:rsidR="0096213C">
        <w:rPr>
          <w:lang w:val="sk-SK"/>
        </w:rPr>
        <w:t xml:space="preserve">úrovne </w:t>
      </w:r>
      <w:r w:rsidR="008E74C5">
        <w:rPr>
          <w:lang w:val="sk-SK"/>
        </w:rPr>
        <w:t xml:space="preserve">výsledkov, pričom </w:t>
      </w:r>
      <w:r w:rsidR="00DC3C50">
        <w:rPr>
          <w:lang w:val="sk-SK"/>
        </w:rPr>
        <w:t xml:space="preserve">výška </w:t>
      </w:r>
      <w:r w:rsidR="008E74C5">
        <w:rPr>
          <w:lang w:val="sk-SK"/>
        </w:rPr>
        <w:t>celkov</w:t>
      </w:r>
      <w:r w:rsidR="00DC3C50">
        <w:rPr>
          <w:lang w:val="sk-SK"/>
        </w:rPr>
        <w:t>ej</w:t>
      </w:r>
      <w:r w:rsidR="008E74C5">
        <w:rPr>
          <w:lang w:val="sk-SK"/>
        </w:rPr>
        <w:t xml:space="preserve"> platb</w:t>
      </w:r>
      <w:r w:rsidR="00DC3C50">
        <w:rPr>
          <w:lang w:val="sk-SK"/>
        </w:rPr>
        <w:t>y</w:t>
      </w:r>
      <w:r w:rsidR="008E74C5">
        <w:rPr>
          <w:lang w:val="sk-SK"/>
        </w:rPr>
        <w:t xml:space="preserve"> za klienta </w:t>
      </w:r>
      <w:r w:rsidR="00DC3C50">
        <w:rPr>
          <w:lang w:val="sk-SK"/>
        </w:rPr>
        <w:t xml:space="preserve">sa rovná </w:t>
      </w:r>
      <w:r w:rsidR="008E74C5">
        <w:rPr>
          <w:lang w:val="sk-SK"/>
        </w:rPr>
        <w:t>súčt</w:t>
      </w:r>
      <w:r w:rsidR="00DC3C50">
        <w:rPr>
          <w:lang w:val="sk-SK"/>
        </w:rPr>
        <w:t>u</w:t>
      </w:r>
      <w:r w:rsidR="008E74C5">
        <w:rPr>
          <w:lang w:val="sk-SK"/>
        </w:rPr>
        <w:t xml:space="preserve"> platieb za každý dosiahnutý výsledok)</w:t>
      </w:r>
      <w:r w:rsidR="008921E8" w:rsidRPr="008921E8">
        <w:rPr>
          <w:lang w:val="sk-SK"/>
        </w:rPr>
        <w:t>.</w:t>
      </w:r>
      <w:r w:rsidR="00661C26">
        <w:rPr>
          <w:lang w:val="sk-SK"/>
        </w:rPr>
        <w:t xml:space="preserve"> </w:t>
      </w:r>
      <w:r w:rsidR="00661C26" w:rsidRPr="00661C26">
        <w:rPr>
          <w:lang w:val="sk-SK"/>
        </w:rPr>
        <w:t xml:space="preserve">Sledovanie dopadov poradenstva na klienta je v zodpovednosti poskytovateľa. Na jedného klienta môže byť vykázaný jeden </w:t>
      </w:r>
      <w:r w:rsidR="00170BA7">
        <w:rPr>
          <w:lang w:val="sk-SK"/>
        </w:rPr>
        <w:t>rovnaký</w:t>
      </w:r>
      <w:r w:rsidR="00661C26" w:rsidRPr="00661C26">
        <w:rPr>
          <w:lang w:val="sk-SK"/>
        </w:rPr>
        <w:t xml:space="preserve"> </w:t>
      </w:r>
      <w:r w:rsidR="00170BA7" w:rsidRPr="00661C26">
        <w:rPr>
          <w:lang w:val="sk-SK"/>
        </w:rPr>
        <w:t xml:space="preserve">výstup maximálne </w:t>
      </w:r>
      <w:r w:rsidR="00170BA7">
        <w:rPr>
          <w:lang w:val="sk-SK"/>
        </w:rPr>
        <w:t>raz ročne</w:t>
      </w:r>
      <w:r w:rsidR="00661C26" w:rsidRPr="00661C26">
        <w:rPr>
          <w:lang w:val="sk-SK"/>
        </w:rPr>
        <w:t xml:space="preserve">. </w:t>
      </w:r>
    </w:p>
    <w:p w14:paraId="0CADAA38" w14:textId="77777777" w:rsidR="00203F78" w:rsidRDefault="00203F78" w:rsidP="00D57B7D">
      <w:pPr>
        <w:jc w:val="both"/>
        <w:rPr>
          <w:lang w:val="sk-SK"/>
        </w:rPr>
      </w:pPr>
      <w:r>
        <w:rPr>
          <w:lang w:val="sk-SK"/>
        </w:rPr>
        <w:t>Pri modelovaní optimálnej výšky priemernej odmeny pre</w:t>
      </w:r>
      <w:r w:rsidR="00285456">
        <w:rPr>
          <w:lang w:val="sk-SK"/>
        </w:rPr>
        <w:t xml:space="preserve"> dodávateľa za jedného klienta vychádzame z predp</w:t>
      </w:r>
      <w:r w:rsidR="005B56B8">
        <w:rPr>
          <w:lang w:val="sk-SK"/>
        </w:rPr>
        <w:t>o</w:t>
      </w:r>
      <w:r w:rsidR="00285456">
        <w:rPr>
          <w:lang w:val="sk-SK"/>
        </w:rPr>
        <w:t xml:space="preserve">kladu, že regulácia </w:t>
      </w:r>
      <w:r w:rsidR="00716B36">
        <w:rPr>
          <w:lang w:val="sk-SK"/>
        </w:rPr>
        <w:t>systému na základe dopytu klientov prinesie štátu v porovnaní s varianto</w:t>
      </w:r>
      <w:r w:rsidR="005B56B8">
        <w:rPr>
          <w:lang w:val="sk-SK"/>
        </w:rPr>
        <w:t>m</w:t>
      </w:r>
      <w:r w:rsidR="00716B36">
        <w:rPr>
          <w:lang w:val="sk-SK"/>
        </w:rPr>
        <w:t xml:space="preserve"> A výrazné úspory</w:t>
      </w:r>
      <w:r w:rsidR="005B56B8">
        <w:rPr>
          <w:rStyle w:val="FootnoteReference"/>
          <w:lang w:val="sk-SK"/>
        </w:rPr>
        <w:footnoteReference w:id="15"/>
      </w:r>
      <w:r w:rsidR="00716B36">
        <w:rPr>
          <w:lang w:val="sk-SK"/>
        </w:rPr>
        <w:t>.</w:t>
      </w:r>
      <w:r w:rsidR="005B56B8">
        <w:rPr>
          <w:lang w:val="sk-SK"/>
        </w:rPr>
        <w:t xml:space="preserve"> </w:t>
      </w:r>
      <w:r w:rsidR="00492643">
        <w:rPr>
          <w:lang w:val="sk-SK"/>
        </w:rPr>
        <w:t>Nastavenie financovania by malo pokrývať prevádzkové náklady dodávateľov spojené s poskytovaním Národných kariérových služieb (nie tvorbu zisku)</w:t>
      </w:r>
      <w:r w:rsidR="00492643">
        <w:rPr>
          <w:rStyle w:val="FootnoteReference"/>
          <w:lang w:val="sk-SK"/>
        </w:rPr>
        <w:footnoteReference w:id="16"/>
      </w:r>
      <w:r w:rsidR="00492643">
        <w:rPr>
          <w:lang w:val="sk-SK"/>
        </w:rPr>
        <w:t>.</w:t>
      </w:r>
    </w:p>
    <w:p w14:paraId="0CADAA39" w14:textId="77777777" w:rsidR="00D57B7D" w:rsidRPr="00D57B7D" w:rsidRDefault="0004033A" w:rsidP="00D57B7D">
      <w:pPr>
        <w:jc w:val="both"/>
        <w:rPr>
          <w:lang w:val="sk-SK"/>
        </w:rPr>
      </w:pPr>
      <w:r w:rsidRPr="00562C39">
        <w:rPr>
          <w:u w:val="single"/>
          <w:lang w:val="sk-SK"/>
        </w:rPr>
        <w:lastRenderedPageBreak/>
        <w:t xml:space="preserve">Podporné </w:t>
      </w:r>
      <w:r>
        <w:rPr>
          <w:u w:val="single"/>
          <w:lang w:val="sk-SK"/>
        </w:rPr>
        <w:t>procesy</w:t>
      </w:r>
      <w:r>
        <w:rPr>
          <w:lang w:val="sk-SK"/>
        </w:rPr>
        <w:t xml:space="preserve">: Ako vo variante </w:t>
      </w:r>
      <w:r w:rsidR="00140167">
        <w:rPr>
          <w:lang w:val="sk-SK"/>
        </w:rPr>
        <w:t>A</w:t>
      </w:r>
      <w:r>
        <w:rPr>
          <w:lang w:val="sk-SK"/>
        </w:rPr>
        <w:t xml:space="preserve">. </w:t>
      </w:r>
      <w:r w:rsidR="009E4FA6">
        <w:rPr>
          <w:lang w:val="sk-SK"/>
        </w:rPr>
        <w:t>Ď</w:t>
      </w:r>
      <w:r w:rsidR="00661C26" w:rsidRPr="00661C26">
        <w:rPr>
          <w:lang w:val="sk-SK"/>
        </w:rPr>
        <w:t xml:space="preserve">alšie príspevky </w:t>
      </w:r>
      <w:r w:rsidR="009E4FA6">
        <w:rPr>
          <w:lang w:val="sk-SK"/>
        </w:rPr>
        <w:t xml:space="preserve">môže dodávateľ získať za preukázané </w:t>
      </w:r>
      <w:r w:rsidR="00661C26" w:rsidRPr="00661C26">
        <w:rPr>
          <w:lang w:val="sk-SK"/>
        </w:rPr>
        <w:t>propagačné aktivity, ktorých cieľom je rozšíriť povedomie verejnosti o službe a nadväzovanie kontaktov so zamestnávateľmi (</w:t>
      </w:r>
      <w:r w:rsidR="009E4FA6">
        <w:rPr>
          <w:lang w:val="sk-SK"/>
        </w:rPr>
        <w:t xml:space="preserve">maximálne </w:t>
      </w:r>
      <w:r w:rsidR="00661C26" w:rsidRPr="00661C26">
        <w:rPr>
          <w:lang w:val="sk-SK"/>
        </w:rPr>
        <w:t>5% rozpočtu).</w:t>
      </w:r>
      <w:r w:rsidR="009E4FA6">
        <w:rPr>
          <w:lang w:val="sk-SK"/>
        </w:rPr>
        <w:t xml:space="preserve"> </w:t>
      </w:r>
    </w:p>
    <w:tbl>
      <w:tblPr>
        <w:tblStyle w:val="TableGrid"/>
        <w:tblW w:w="0" w:type="auto"/>
        <w:tblLook w:val="04A0" w:firstRow="1" w:lastRow="0" w:firstColumn="1" w:lastColumn="0" w:noHBand="0" w:noVBand="1"/>
      </w:tblPr>
      <w:tblGrid>
        <w:gridCol w:w="4788"/>
        <w:gridCol w:w="4788"/>
      </w:tblGrid>
      <w:tr w:rsidR="0083683E" w14:paraId="0CADAA3C" w14:textId="77777777" w:rsidTr="00737986">
        <w:tc>
          <w:tcPr>
            <w:tcW w:w="4788" w:type="dxa"/>
            <w:shd w:val="clear" w:color="auto" w:fill="D9E2F3" w:themeFill="accent1" w:themeFillTint="33"/>
          </w:tcPr>
          <w:p w14:paraId="0CADAA3A" w14:textId="77777777" w:rsidR="0083683E" w:rsidRDefault="0083683E" w:rsidP="00737986">
            <w:pPr>
              <w:jc w:val="both"/>
              <w:rPr>
                <w:b/>
              </w:rPr>
            </w:pPr>
            <w:r>
              <w:rPr>
                <w:b/>
              </w:rPr>
              <w:t>Výhody</w:t>
            </w:r>
          </w:p>
        </w:tc>
        <w:tc>
          <w:tcPr>
            <w:tcW w:w="4788" w:type="dxa"/>
            <w:shd w:val="clear" w:color="auto" w:fill="D9E2F3" w:themeFill="accent1" w:themeFillTint="33"/>
          </w:tcPr>
          <w:p w14:paraId="0CADAA3B" w14:textId="77777777" w:rsidR="0083683E" w:rsidRDefault="0083683E" w:rsidP="00737986">
            <w:pPr>
              <w:jc w:val="both"/>
              <w:rPr>
                <w:b/>
              </w:rPr>
            </w:pPr>
            <w:r>
              <w:rPr>
                <w:b/>
              </w:rPr>
              <w:t>Nevýhody</w:t>
            </w:r>
          </w:p>
        </w:tc>
      </w:tr>
      <w:tr w:rsidR="0083683E" w:rsidRPr="00432080" w14:paraId="0CADAA44" w14:textId="77777777" w:rsidTr="00737986">
        <w:tc>
          <w:tcPr>
            <w:tcW w:w="4788" w:type="dxa"/>
          </w:tcPr>
          <w:p w14:paraId="0CADAA3D" w14:textId="77777777" w:rsidR="0083683E" w:rsidRDefault="0083683E" w:rsidP="00737986">
            <w:pPr>
              <w:pStyle w:val="ListParagraph"/>
              <w:numPr>
                <w:ilvl w:val="0"/>
                <w:numId w:val="18"/>
              </w:numPr>
              <w:jc w:val="both"/>
            </w:pPr>
            <w:r>
              <w:t>Vyšší tlak na efektivitu vynaložených prostriedkov a meranie dopadov</w:t>
            </w:r>
          </w:p>
          <w:p w14:paraId="0CADAA3E" w14:textId="77777777" w:rsidR="0083683E" w:rsidRDefault="0083683E" w:rsidP="00737986">
            <w:pPr>
              <w:pStyle w:val="ListParagraph"/>
              <w:numPr>
                <w:ilvl w:val="0"/>
                <w:numId w:val="18"/>
              </w:numPr>
              <w:jc w:val="both"/>
            </w:pPr>
            <w:r>
              <w:t>Využitie existujúcej vysokokvalifikovanej siete súkromných poskytovateľov kariérového poradenstva (občianske združenia, neziskové organizácie, sociálne podniky, firmy a pod.)</w:t>
            </w:r>
          </w:p>
          <w:p w14:paraId="0CADAA3F" w14:textId="77777777" w:rsidR="00155531" w:rsidRDefault="00155531" w:rsidP="00737986">
            <w:pPr>
              <w:pStyle w:val="ListParagraph"/>
              <w:numPr>
                <w:ilvl w:val="0"/>
                <w:numId w:val="18"/>
              </w:numPr>
              <w:jc w:val="both"/>
            </w:pPr>
            <w:r>
              <w:t>Efektívne vynaloženie verejných finančných prostriedkov (platby viazané na výsledky dosiahnuté s</w:t>
            </w:r>
            <w:r w:rsidR="00326253">
              <w:t> </w:t>
            </w:r>
            <w:r>
              <w:t>klientom</w:t>
            </w:r>
            <w:r w:rsidR="00326253">
              <w:t>)</w:t>
            </w:r>
          </w:p>
          <w:p w14:paraId="0CADAA40" w14:textId="77777777" w:rsidR="0083683E" w:rsidRPr="002E42F6" w:rsidRDefault="0083683E" w:rsidP="00737986">
            <w:pPr>
              <w:pStyle w:val="ListParagraph"/>
              <w:numPr>
                <w:ilvl w:val="0"/>
                <w:numId w:val="18"/>
              </w:numPr>
              <w:jc w:val="both"/>
            </w:pPr>
            <w:r>
              <w:t>Trhová regulácia systému</w:t>
            </w:r>
            <w:r w:rsidR="002E3C20">
              <w:t xml:space="preserve"> </w:t>
            </w:r>
            <w:r w:rsidR="0029091B">
              <w:t xml:space="preserve">na základe dopytu občanov </w:t>
            </w:r>
            <w:r w:rsidR="0096345A">
              <w:t>po službe</w:t>
            </w:r>
          </w:p>
        </w:tc>
        <w:tc>
          <w:tcPr>
            <w:tcW w:w="4788" w:type="dxa"/>
          </w:tcPr>
          <w:p w14:paraId="0CADAA41" w14:textId="77777777" w:rsidR="0083683E" w:rsidRDefault="0083683E" w:rsidP="00737986">
            <w:pPr>
              <w:pStyle w:val="ListParagraph"/>
              <w:numPr>
                <w:ilvl w:val="0"/>
                <w:numId w:val="18"/>
              </w:numPr>
              <w:jc w:val="both"/>
            </w:pPr>
            <w:r>
              <w:t>Komplexná administrácia (výber a kontrahovanie dodávateľov, financovanie a kontrola)</w:t>
            </w:r>
          </w:p>
          <w:p w14:paraId="0CADAA42" w14:textId="77777777" w:rsidR="0083683E" w:rsidRDefault="0083683E" w:rsidP="00155531">
            <w:pPr>
              <w:pStyle w:val="ListParagraph"/>
              <w:numPr>
                <w:ilvl w:val="0"/>
                <w:numId w:val="18"/>
              </w:numPr>
              <w:jc w:val="both"/>
            </w:pPr>
            <w:r>
              <w:t>Náročné zabezpečovanie kvality: Riziko nehomogénnej služby a rôznej kvality medzi dodávateľmi</w:t>
            </w:r>
          </w:p>
          <w:p w14:paraId="0CADAA43" w14:textId="77777777" w:rsidR="00DF5344" w:rsidRPr="00DF5344" w:rsidRDefault="00DF5344" w:rsidP="00DF5344">
            <w:pPr>
              <w:pStyle w:val="ListParagraph"/>
              <w:numPr>
                <w:ilvl w:val="0"/>
                <w:numId w:val="18"/>
              </w:numPr>
              <w:jc w:val="both"/>
            </w:pPr>
            <w:r>
              <w:t>Vysoké nároky na finančnú a organizačnú stabilitu dodávateľov</w:t>
            </w:r>
          </w:p>
        </w:tc>
      </w:tr>
    </w:tbl>
    <w:p w14:paraId="0CADAA45" w14:textId="77777777" w:rsidR="0083683E" w:rsidRDefault="0083683E" w:rsidP="00D544A6">
      <w:pPr>
        <w:rPr>
          <w:lang w:val="sk-SK"/>
        </w:rPr>
      </w:pPr>
    </w:p>
    <w:p w14:paraId="0CADAA46" w14:textId="77777777" w:rsidR="00CE4E42" w:rsidRDefault="00CE4E42">
      <w:pPr>
        <w:rPr>
          <w:rFonts w:asciiTheme="majorHAnsi" w:eastAsiaTheme="majorEastAsia" w:hAnsiTheme="majorHAnsi" w:cstheme="majorBidi"/>
          <w:i/>
          <w:iCs/>
          <w:color w:val="2F5496" w:themeColor="accent1" w:themeShade="BF"/>
          <w:lang w:val="sk-SK"/>
        </w:rPr>
      </w:pPr>
      <w:r>
        <w:rPr>
          <w:lang w:val="sk-SK"/>
        </w:rPr>
        <w:br w:type="page"/>
      </w:r>
    </w:p>
    <w:p w14:paraId="0CADAA47" w14:textId="77777777" w:rsidR="00136B02" w:rsidRPr="00E77B24" w:rsidRDefault="007C65FC" w:rsidP="00136B02">
      <w:pPr>
        <w:pStyle w:val="Heading4"/>
        <w:rPr>
          <w:lang w:val="sk-SK"/>
        </w:rPr>
      </w:pPr>
      <w:r>
        <w:rPr>
          <w:lang w:val="sk-SK"/>
        </w:rPr>
        <w:lastRenderedPageBreak/>
        <w:t xml:space="preserve">1.2 </w:t>
      </w:r>
      <w:r w:rsidR="00136B02" w:rsidRPr="00E77B24">
        <w:rPr>
          <w:lang w:val="sk-SK"/>
        </w:rPr>
        <w:t>Dostupnosť a kvalita kariér</w:t>
      </w:r>
      <w:r w:rsidR="00136B02">
        <w:rPr>
          <w:lang w:val="sk-SK"/>
        </w:rPr>
        <w:t>ový</w:t>
      </w:r>
      <w:r w:rsidR="00136B02" w:rsidRPr="00E77B24">
        <w:rPr>
          <w:lang w:val="sk-SK"/>
        </w:rPr>
        <w:t xml:space="preserve">ch informácií </w:t>
      </w:r>
    </w:p>
    <w:p w14:paraId="0CADAA48" w14:textId="77777777" w:rsidR="004A4B97" w:rsidRPr="004A4B97" w:rsidRDefault="00B965D6" w:rsidP="004A4B97">
      <w:pPr>
        <w:jc w:val="both"/>
        <w:rPr>
          <w:lang w:val="sk-SK"/>
        </w:rPr>
      </w:pPr>
      <w:r w:rsidRPr="004A4B97">
        <w:rPr>
          <w:lang w:val="sk-SK"/>
        </w:rPr>
        <w:t>Kariérové informácie pomáhajú občanom porovnať vlastné zručnosti, záujmy a potreby s požiadavkami vzdelávacích alebo pracovných príležitostí</w:t>
      </w:r>
      <w:r w:rsidR="00705CA4">
        <w:rPr>
          <w:lang w:val="sk-SK"/>
        </w:rPr>
        <w:t>,</w:t>
      </w:r>
      <w:r w:rsidRPr="004A4B97">
        <w:rPr>
          <w:lang w:val="sk-SK"/>
        </w:rPr>
        <w:t xml:space="preserve"> so situáciou na trhu práce a potrebami zamestnávateľov a identifikovať spôsoby, ako tieto príležitosti využívať</w:t>
      </w:r>
      <w:r w:rsidR="00705CA4">
        <w:rPr>
          <w:lang w:val="sk-SK"/>
        </w:rPr>
        <w:t xml:space="preserve"> a robiť informované rozhod</w:t>
      </w:r>
      <w:r w:rsidR="00AE7C4B">
        <w:rPr>
          <w:lang w:val="sk-SK"/>
        </w:rPr>
        <w:t>n</w:t>
      </w:r>
      <w:r w:rsidR="00705CA4">
        <w:rPr>
          <w:lang w:val="sk-SK"/>
        </w:rPr>
        <w:t>utia</w:t>
      </w:r>
      <w:r w:rsidR="00F528CC" w:rsidRPr="004A4B97">
        <w:rPr>
          <w:lang w:val="sk-SK"/>
        </w:rPr>
        <w:t xml:space="preserve"> o vlastnej vzdelávacej a profesijnej dráhe - </w:t>
      </w:r>
      <w:r w:rsidR="00F528CC" w:rsidRPr="004A4B97">
        <w:rPr>
          <w:b/>
          <w:lang w:val="sk-SK"/>
        </w:rPr>
        <w:t>informácie o povolaniach, o trhu práce, vzdelávaní, odbornej príprave (vrátane rekvalifikácií)</w:t>
      </w:r>
      <w:r w:rsidR="004A4B97">
        <w:rPr>
          <w:b/>
          <w:lang w:val="sk-SK"/>
        </w:rPr>
        <w:t>, vzdelávacích programoch</w:t>
      </w:r>
      <w:r w:rsidR="00F528CC" w:rsidRPr="004A4B97">
        <w:rPr>
          <w:lang w:val="sk-SK"/>
        </w:rPr>
        <w:t>. Patria sem ale tiež informácie získané skúsenosťou (napr. exkurzie, stáže, tieňovanie a pod.)</w:t>
      </w:r>
      <w:r w:rsidR="00D863BF" w:rsidRPr="004A4B97">
        <w:rPr>
          <w:lang w:val="sk-SK"/>
        </w:rPr>
        <w:t>.</w:t>
      </w:r>
    </w:p>
    <w:p w14:paraId="0CADAA49" w14:textId="77777777" w:rsidR="00574A1F" w:rsidRPr="00DD150B" w:rsidRDefault="00BB2C4F" w:rsidP="00C94989">
      <w:pPr>
        <w:spacing w:before="120"/>
        <w:jc w:val="both"/>
        <w:rPr>
          <w:lang w:val="sk-SK"/>
        </w:rPr>
      </w:pPr>
      <w:r>
        <w:rPr>
          <w:lang w:val="sk-SK"/>
        </w:rPr>
        <w:t>Pre zvýšenie dostupnosti a</w:t>
      </w:r>
      <w:r w:rsidR="00DD2D95">
        <w:rPr>
          <w:lang w:val="sk-SK"/>
        </w:rPr>
        <w:t xml:space="preserve"> využiteľnosti kariérových informácií pre kariérových poradcov a klientov </w:t>
      </w:r>
      <w:r w:rsidR="008575AC">
        <w:rPr>
          <w:lang w:val="sk-SK"/>
        </w:rPr>
        <w:t xml:space="preserve">je </w:t>
      </w:r>
      <w:r w:rsidR="00427732">
        <w:rPr>
          <w:lang w:val="sk-SK"/>
        </w:rPr>
        <w:t>strategický</w:t>
      </w:r>
      <w:r w:rsidR="008575AC">
        <w:rPr>
          <w:lang w:val="sk-SK"/>
        </w:rPr>
        <w:t>m</w:t>
      </w:r>
      <w:r w:rsidR="00427732">
        <w:rPr>
          <w:lang w:val="sk-SK"/>
        </w:rPr>
        <w:t xml:space="preserve"> cieľ</w:t>
      </w:r>
      <w:r w:rsidR="008575AC">
        <w:rPr>
          <w:lang w:val="sk-SK"/>
        </w:rPr>
        <w:t>om</w:t>
      </w:r>
      <w:r w:rsidR="00427732">
        <w:rPr>
          <w:lang w:val="sk-SK"/>
        </w:rPr>
        <w:t xml:space="preserve"> </w:t>
      </w:r>
      <w:r w:rsidR="00551F68">
        <w:rPr>
          <w:lang w:val="sk-SK"/>
        </w:rPr>
        <w:t>v</w:t>
      </w:r>
      <w:r w:rsidR="00C16B9B" w:rsidRPr="00C16B9B">
        <w:rPr>
          <w:lang w:val="sk-SK"/>
        </w:rPr>
        <w:t xml:space="preserve">ytvorenie jednotnej databázy, ktorá by </w:t>
      </w:r>
      <w:r w:rsidR="00C16B9B" w:rsidRPr="006E1627">
        <w:rPr>
          <w:b/>
          <w:lang w:val="sk-SK"/>
        </w:rPr>
        <w:t>prepájala a štandardizovala existujúce zdroje informácií pre kariérové rozhodovanie</w:t>
      </w:r>
      <w:r w:rsidR="00F03967">
        <w:rPr>
          <w:lang w:val="sk-SK"/>
        </w:rPr>
        <w:t xml:space="preserve"> a </w:t>
      </w:r>
      <w:r w:rsidR="00C16B9B" w:rsidRPr="00C16B9B">
        <w:rPr>
          <w:lang w:val="sk-SK"/>
        </w:rPr>
        <w:t>umožnila otvorený prístup k dátam prostredníctvom API</w:t>
      </w:r>
      <w:r w:rsidR="00045E20">
        <w:rPr>
          <w:rStyle w:val="FootnoteReference"/>
          <w:lang w:val="sk-SK"/>
        </w:rPr>
        <w:footnoteReference w:id="17"/>
      </w:r>
      <w:r w:rsidR="00C16B9B" w:rsidRPr="00C16B9B">
        <w:rPr>
          <w:lang w:val="sk-SK"/>
        </w:rPr>
        <w:t xml:space="preserve">. </w:t>
      </w:r>
      <w:r w:rsidR="009B3083">
        <w:rPr>
          <w:lang w:val="sk-SK"/>
        </w:rPr>
        <w:t xml:space="preserve">Čiastkovými krokmi </w:t>
      </w:r>
      <w:r w:rsidR="00494D44">
        <w:rPr>
          <w:lang w:val="sk-SK"/>
        </w:rPr>
        <w:t>sú</w:t>
      </w:r>
      <w:r w:rsidR="009B3083">
        <w:rPr>
          <w:lang w:val="sk-SK"/>
        </w:rPr>
        <w:t xml:space="preserve"> presadzovanie zásad otvoreného prístupu a interoperability v existujúcich verejne financovaných portáloch a dátach, ktoré obsahujú relevantné informácie (napr. </w:t>
      </w:r>
      <w:r w:rsidR="00C16B9B" w:rsidRPr="009B3083">
        <w:rPr>
          <w:lang w:val="sk-SK"/>
        </w:rPr>
        <w:t>Národná sústava povolaní</w:t>
      </w:r>
      <w:r w:rsidR="009B3083" w:rsidRPr="009B3083">
        <w:rPr>
          <w:lang w:val="sk-SK"/>
        </w:rPr>
        <w:t xml:space="preserve">, </w:t>
      </w:r>
      <w:r w:rsidR="00C16B9B" w:rsidRPr="009B3083">
        <w:rPr>
          <w:lang w:val="sk-SK"/>
        </w:rPr>
        <w:t>Národná sústava kvalifikácií</w:t>
      </w:r>
      <w:r w:rsidR="009B3083" w:rsidRPr="009B3083">
        <w:rPr>
          <w:lang w:val="sk-SK"/>
        </w:rPr>
        <w:t xml:space="preserve">, </w:t>
      </w:r>
      <w:r w:rsidR="00C16B9B" w:rsidRPr="009B3083">
        <w:rPr>
          <w:lang w:val="sk-SK"/>
        </w:rPr>
        <w:t>ISTP.sk</w:t>
      </w:r>
      <w:r w:rsidR="009B3083" w:rsidRPr="009B3083">
        <w:rPr>
          <w:lang w:val="sk-SK"/>
        </w:rPr>
        <w:t xml:space="preserve">, </w:t>
      </w:r>
      <w:r w:rsidR="00C57ADB">
        <w:rPr>
          <w:lang w:val="sk-SK"/>
        </w:rPr>
        <w:t xml:space="preserve">dáta z Národného projektu </w:t>
      </w:r>
      <w:r w:rsidR="00C16B9B" w:rsidRPr="009B3083">
        <w:rPr>
          <w:lang w:val="sk-SK"/>
        </w:rPr>
        <w:t>Prognózy trhu práce</w:t>
      </w:r>
      <w:r w:rsidR="00C94989">
        <w:rPr>
          <w:lang w:val="sk-SK"/>
        </w:rPr>
        <w:t>, Informačný systém ďalšieho vzdelávania a ďalšie).</w:t>
      </w:r>
      <w:r w:rsidR="00494D44">
        <w:rPr>
          <w:lang w:val="sk-SK"/>
        </w:rPr>
        <w:t xml:space="preserve"> Ďalším </w:t>
      </w:r>
      <w:r w:rsidR="00366164">
        <w:rPr>
          <w:lang w:val="sk-SK"/>
        </w:rPr>
        <w:t xml:space="preserve">krokom </w:t>
      </w:r>
      <w:r w:rsidR="00494D44">
        <w:rPr>
          <w:lang w:val="sk-SK"/>
        </w:rPr>
        <w:t xml:space="preserve">je </w:t>
      </w:r>
      <w:r w:rsidR="00366164">
        <w:rPr>
          <w:lang w:val="sk-SK"/>
        </w:rPr>
        <w:t xml:space="preserve">prepájanie </w:t>
      </w:r>
      <w:r w:rsidR="00494D44">
        <w:rPr>
          <w:lang w:val="sk-SK"/>
        </w:rPr>
        <w:t xml:space="preserve">existujúcich portálov, napr. </w:t>
      </w:r>
      <w:r w:rsidR="00494D44" w:rsidRPr="009225F8">
        <w:rPr>
          <w:lang w:val="sk-SK"/>
        </w:rPr>
        <w:t>obohaten</w:t>
      </w:r>
      <w:r w:rsidR="00494D44">
        <w:rPr>
          <w:lang w:val="sk-SK"/>
        </w:rPr>
        <w:t>ie kariet povolaní</w:t>
      </w:r>
      <w:r w:rsidR="00494D44" w:rsidRPr="009225F8">
        <w:rPr>
          <w:lang w:val="sk-SK"/>
        </w:rPr>
        <w:t xml:space="preserve"> v Národnej sústave povolaní o</w:t>
      </w:r>
      <w:r w:rsidR="00494D44">
        <w:rPr>
          <w:lang w:val="sk-SK"/>
        </w:rPr>
        <w:t>  prognózy trhu práce či údaje z</w:t>
      </w:r>
      <w:r w:rsidR="00366164">
        <w:rPr>
          <w:lang w:val="sk-SK"/>
        </w:rPr>
        <w:t> </w:t>
      </w:r>
      <w:r w:rsidR="00494D44">
        <w:rPr>
          <w:lang w:val="sk-SK"/>
        </w:rPr>
        <w:t>Profesiometra</w:t>
      </w:r>
      <w:r w:rsidR="00366164">
        <w:rPr>
          <w:lang w:val="sk-SK"/>
        </w:rPr>
        <w:t xml:space="preserve"> a pod.</w:t>
      </w:r>
    </w:p>
    <w:p w14:paraId="0CADAA4A" w14:textId="77777777" w:rsidR="00D25C03" w:rsidRDefault="00D25C03" w:rsidP="00574A1F">
      <w:pPr>
        <w:pStyle w:val="Heading4"/>
        <w:rPr>
          <w:lang w:val="sk-SK"/>
        </w:rPr>
      </w:pPr>
    </w:p>
    <w:p w14:paraId="0CADAA4B" w14:textId="77777777" w:rsidR="00574A1F" w:rsidRPr="00574A1F" w:rsidRDefault="00574A1F" w:rsidP="00574A1F">
      <w:pPr>
        <w:pStyle w:val="Heading4"/>
        <w:rPr>
          <w:lang w:val="sk-SK"/>
        </w:rPr>
      </w:pPr>
      <w:r>
        <w:rPr>
          <w:lang w:val="sk-SK"/>
        </w:rPr>
        <w:t xml:space="preserve">1.3 </w:t>
      </w:r>
      <w:r w:rsidRPr="00574A1F">
        <w:rPr>
          <w:lang w:val="sk-SK"/>
        </w:rPr>
        <w:t>Informačné a komunikačné technológie</w:t>
      </w:r>
    </w:p>
    <w:p w14:paraId="0CADAA4C" w14:textId="2BC89E31" w:rsidR="00623047" w:rsidRDefault="00574A1F" w:rsidP="003B401A">
      <w:pPr>
        <w:jc w:val="both"/>
        <w:rPr>
          <w:lang w:val="sk-SK"/>
        </w:rPr>
      </w:pPr>
      <w:r w:rsidRPr="00344AA5">
        <w:rPr>
          <w:lang w:val="sk-SK"/>
        </w:rPr>
        <w:t>Informačné a komunikačné technológie (IKT)</w:t>
      </w:r>
      <w:r w:rsidRPr="008B55D1">
        <w:rPr>
          <w:b/>
          <w:lang w:val="sk-SK"/>
        </w:rPr>
        <w:t xml:space="preserve"> </w:t>
      </w:r>
      <w:r w:rsidR="00AF718B">
        <w:rPr>
          <w:lang w:val="sk-SK"/>
        </w:rPr>
        <w:t xml:space="preserve">môžu </w:t>
      </w:r>
      <w:r w:rsidR="000C7D55">
        <w:rPr>
          <w:lang w:val="sk-SK"/>
        </w:rPr>
        <w:t xml:space="preserve">rôznou formou </w:t>
      </w:r>
      <w:r w:rsidR="00AF718B">
        <w:rPr>
          <w:lang w:val="sk-SK"/>
        </w:rPr>
        <w:t xml:space="preserve">zvyšovať </w:t>
      </w:r>
      <w:r w:rsidR="00AF718B" w:rsidRPr="008B55D1">
        <w:rPr>
          <w:lang w:val="sk-SK"/>
        </w:rPr>
        <w:t xml:space="preserve">dostupnosť poradenstva </w:t>
      </w:r>
      <w:r w:rsidR="00AF718B">
        <w:rPr>
          <w:lang w:val="sk-SK"/>
        </w:rPr>
        <w:t>pre vybrané cieľové skupiny</w:t>
      </w:r>
      <w:r w:rsidR="000C7D55">
        <w:rPr>
          <w:lang w:val="sk-SK"/>
        </w:rPr>
        <w:t xml:space="preserve">. </w:t>
      </w:r>
      <w:r w:rsidR="00846C31">
        <w:rPr>
          <w:lang w:val="sk-SK"/>
        </w:rPr>
        <w:t xml:space="preserve">V prípade internetových nástrojov </w:t>
      </w:r>
      <w:r w:rsidR="00217425">
        <w:rPr>
          <w:lang w:val="sk-SK"/>
        </w:rPr>
        <w:t xml:space="preserve">ide </w:t>
      </w:r>
      <w:r w:rsidR="00846C31">
        <w:rPr>
          <w:lang w:val="sk-SK"/>
        </w:rPr>
        <w:t xml:space="preserve">najmä </w:t>
      </w:r>
      <w:r w:rsidR="00623047">
        <w:rPr>
          <w:lang w:val="sk-SK"/>
        </w:rPr>
        <w:t>o</w:t>
      </w:r>
      <w:r w:rsidR="001B69DA">
        <w:rPr>
          <w:lang w:val="sk-SK"/>
        </w:rPr>
        <w:t> webové stránky</w:t>
      </w:r>
      <w:r w:rsidR="00623047">
        <w:rPr>
          <w:lang w:val="sk-SK"/>
        </w:rPr>
        <w:t>:</w:t>
      </w:r>
    </w:p>
    <w:p w14:paraId="0CADAA4D" w14:textId="77777777" w:rsidR="00623047" w:rsidRDefault="00623047" w:rsidP="00623047">
      <w:pPr>
        <w:pStyle w:val="ListParagraph"/>
        <w:numPr>
          <w:ilvl w:val="0"/>
          <w:numId w:val="21"/>
        </w:numPr>
        <w:jc w:val="both"/>
        <w:rPr>
          <w:lang w:val="sk-SK"/>
        </w:rPr>
      </w:pPr>
      <w:r>
        <w:rPr>
          <w:lang w:val="sk-SK"/>
        </w:rPr>
        <w:t>poskytujú</w:t>
      </w:r>
      <w:r w:rsidR="001B69DA">
        <w:rPr>
          <w:lang w:val="sk-SK"/>
        </w:rPr>
        <w:t>ce</w:t>
      </w:r>
      <w:r>
        <w:rPr>
          <w:lang w:val="sk-SK"/>
        </w:rPr>
        <w:t xml:space="preserve"> kariérové informácie (pozri bod 1.2)</w:t>
      </w:r>
    </w:p>
    <w:p w14:paraId="0CADAA4E" w14:textId="77777777" w:rsidR="00623047" w:rsidRDefault="001B69DA" w:rsidP="00623047">
      <w:pPr>
        <w:pStyle w:val="ListParagraph"/>
        <w:numPr>
          <w:ilvl w:val="0"/>
          <w:numId w:val="21"/>
        </w:numPr>
        <w:jc w:val="both"/>
        <w:rPr>
          <w:lang w:val="sk-SK"/>
        </w:rPr>
      </w:pPr>
      <w:r>
        <w:rPr>
          <w:lang w:val="sk-SK"/>
        </w:rPr>
        <w:t>poskytujúce automatizované interakcie</w:t>
      </w:r>
      <w:r w:rsidR="00C25B6F">
        <w:rPr>
          <w:lang w:val="sk-SK"/>
        </w:rPr>
        <w:t>, napr.</w:t>
      </w:r>
      <w:r w:rsidR="00BD0E16">
        <w:rPr>
          <w:lang w:val="sk-SK"/>
        </w:rPr>
        <w:t xml:space="preserve"> elementárnu diagnostiku </w:t>
      </w:r>
      <w:r w:rsidR="006A6E4A">
        <w:rPr>
          <w:lang w:val="sk-SK"/>
        </w:rPr>
        <w:t xml:space="preserve">zručností a záujmov </w:t>
      </w:r>
      <w:r w:rsidR="00C25B6F">
        <w:rPr>
          <w:lang w:val="sk-SK"/>
        </w:rPr>
        <w:t>(online testy, dotazníky)</w:t>
      </w:r>
    </w:p>
    <w:p w14:paraId="0CADAA4F" w14:textId="77777777" w:rsidR="00C25B6F" w:rsidRPr="00623047" w:rsidRDefault="00A67051" w:rsidP="00623047">
      <w:pPr>
        <w:pStyle w:val="ListParagraph"/>
        <w:numPr>
          <w:ilvl w:val="0"/>
          <w:numId w:val="21"/>
        </w:numPr>
        <w:jc w:val="both"/>
        <w:rPr>
          <w:lang w:val="sk-SK"/>
        </w:rPr>
      </w:pPr>
      <w:r w:rsidRPr="008B55D1">
        <w:rPr>
          <w:lang w:val="sk-SK"/>
        </w:rPr>
        <w:t>umožňujú</w:t>
      </w:r>
      <w:r>
        <w:rPr>
          <w:lang w:val="sk-SK"/>
        </w:rPr>
        <w:t>ce</w:t>
      </w:r>
      <w:r w:rsidRPr="008B55D1">
        <w:rPr>
          <w:lang w:val="sk-SK"/>
        </w:rPr>
        <w:t xml:space="preserve"> kontakt medzi používateľom a poradcom a aj medzi používateľmi navzájom</w:t>
      </w:r>
      <w:r w:rsidR="00846C31">
        <w:rPr>
          <w:lang w:val="sk-SK"/>
        </w:rPr>
        <w:t>.</w:t>
      </w:r>
    </w:p>
    <w:p w14:paraId="0CADAA50" w14:textId="77777777" w:rsidR="00574A1F" w:rsidRDefault="000C7D55" w:rsidP="004C3985">
      <w:pPr>
        <w:jc w:val="both"/>
        <w:rPr>
          <w:lang w:val="sk-SK"/>
        </w:rPr>
      </w:pPr>
      <w:r>
        <w:rPr>
          <w:lang w:val="sk-SK"/>
        </w:rPr>
        <w:t>Využitie telefonického poradenstva je popísané v časti 1.1. I</w:t>
      </w:r>
      <w:r w:rsidR="00574A1F" w:rsidRPr="008B55D1">
        <w:rPr>
          <w:lang w:val="sk-SK"/>
        </w:rPr>
        <w:t>nternetové nástroje</w:t>
      </w:r>
      <w:r>
        <w:rPr>
          <w:lang w:val="sk-SK"/>
        </w:rPr>
        <w:t xml:space="preserve"> poskytujúce automatickú interakciu </w:t>
      </w:r>
      <w:r w:rsidR="00C7395C">
        <w:rPr>
          <w:lang w:val="sk-SK"/>
        </w:rPr>
        <w:t>musia byť</w:t>
      </w:r>
      <w:r w:rsidR="00C7395C" w:rsidRPr="00C7395C">
        <w:rPr>
          <w:lang w:val="sk-SK"/>
        </w:rPr>
        <w:t xml:space="preserve"> </w:t>
      </w:r>
      <w:r w:rsidR="00C7395C">
        <w:rPr>
          <w:lang w:val="sk-SK"/>
        </w:rPr>
        <w:t>podporené dostupnosťou ďalších služieb, najmä osobných konzultácií s kariérovým poradcom</w:t>
      </w:r>
      <w:r w:rsidR="007D7745">
        <w:rPr>
          <w:rStyle w:val="FootnoteReference"/>
          <w:lang w:val="sk-SK"/>
        </w:rPr>
        <w:footnoteReference w:id="18"/>
      </w:r>
      <w:r w:rsidR="00FB3841">
        <w:rPr>
          <w:lang w:val="sk-SK"/>
        </w:rPr>
        <w:t xml:space="preserve">. </w:t>
      </w:r>
      <w:r w:rsidR="00A66BFD">
        <w:rPr>
          <w:lang w:val="sk-SK"/>
        </w:rPr>
        <w:t xml:space="preserve">Najmä internetové nástroje typu a) a b) </w:t>
      </w:r>
      <w:r w:rsidR="00FB3841">
        <w:rPr>
          <w:lang w:val="sk-SK"/>
        </w:rPr>
        <w:t>sú</w:t>
      </w:r>
      <w:r w:rsidR="00AE34E3">
        <w:rPr>
          <w:lang w:val="sk-SK"/>
        </w:rPr>
        <w:t xml:space="preserve"> </w:t>
      </w:r>
      <w:r w:rsidR="00EE0797">
        <w:rPr>
          <w:lang w:val="sk-SK"/>
        </w:rPr>
        <w:t xml:space="preserve">v SR </w:t>
      </w:r>
      <w:r w:rsidR="00AE34E3">
        <w:rPr>
          <w:lang w:val="sk-SK"/>
        </w:rPr>
        <w:t xml:space="preserve">relatívne málo rozvinuté. </w:t>
      </w:r>
    </w:p>
    <w:p w14:paraId="0CADAA51" w14:textId="77777777" w:rsidR="00707AB9" w:rsidRDefault="008575AC" w:rsidP="001762A8">
      <w:pPr>
        <w:jc w:val="both"/>
        <w:rPr>
          <w:lang w:val="sk-SK"/>
        </w:rPr>
      </w:pPr>
      <w:r>
        <w:rPr>
          <w:lang w:val="sk-SK"/>
        </w:rPr>
        <w:t>S</w:t>
      </w:r>
      <w:r w:rsidR="00AE34E3">
        <w:rPr>
          <w:lang w:val="sk-SK"/>
        </w:rPr>
        <w:t>trategický</w:t>
      </w:r>
      <w:r>
        <w:rPr>
          <w:lang w:val="sk-SK"/>
        </w:rPr>
        <w:t>m</w:t>
      </w:r>
      <w:r w:rsidR="00AE34E3">
        <w:rPr>
          <w:lang w:val="sk-SK"/>
        </w:rPr>
        <w:t xml:space="preserve"> cieľ</w:t>
      </w:r>
      <w:r>
        <w:rPr>
          <w:lang w:val="sk-SK"/>
        </w:rPr>
        <w:t>om tejto oblasti je</w:t>
      </w:r>
      <w:r w:rsidR="00AE34E3">
        <w:rPr>
          <w:lang w:val="sk-SK"/>
        </w:rPr>
        <w:t xml:space="preserve"> </w:t>
      </w:r>
      <w:r w:rsidRPr="003E764C">
        <w:rPr>
          <w:b/>
          <w:lang w:val="sk-SK"/>
        </w:rPr>
        <w:t>r</w:t>
      </w:r>
      <w:r w:rsidR="00AE34E3" w:rsidRPr="003E764C">
        <w:rPr>
          <w:b/>
          <w:lang w:val="sk-SK"/>
        </w:rPr>
        <w:t xml:space="preserve">ozvoj </w:t>
      </w:r>
      <w:r w:rsidRPr="003E764C">
        <w:rPr>
          <w:b/>
          <w:lang w:val="sk-SK"/>
        </w:rPr>
        <w:t xml:space="preserve">jedného z </w:t>
      </w:r>
      <w:r w:rsidR="00AE34E3" w:rsidRPr="003E764C">
        <w:rPr>
          <w:b/>
          <w:lang w:val="sk-SK"/>
        </w:rPr>
        <w:t>existujúc</w:t>
      </w:r>
      <w:r w:rsidRPr="003E764C">
        <w:rPr>
          <w:b/>
          <w:lang w:val="sk-SK"/>
        </w:rPr>
        <w:t>ich</w:t>
      </w:r>
      <w:r w:rsidR="00AE34E3" w:rsidRPr="003E764C">
        <w:rPr>
          <w:b/>
          <w:lang w:val="sk-SK"/>
        </w:rPr>
        <w:t xml:space="preserve"> portál</w:t>
      </w:r>
      <w:r w:rsidR="00EE0797" w:rsidRPr="003E764C">
        <w:rPr>
          <w:b/>
          <w:lang w:val="sk-SK"/>
        </w:rPr>
        <w:t>ov</w:t>
      </w:r>
      <w:r w:rsidR="00AE34E3" w:rsidRPr="003E764C">
        <w:rPr>
          <w:b/>
          <w:lang w:val="sk-SK"/>
        </w:rPr>
        <w:t xml:space="preserve"> do formy </w:t>
      </w:r>
      <w:r w:rsidR="00EE0797" w:rsidRPr="003E764C">
        <w:rPr>
          <w:b/>
          <w:lang w:val="sk-SK"/>
        </w:rPr>
        <w:t>„</w:t>
      </w:r>
      <w:r w:rsidR="00AE34E3" w:rsidRPr="003E764C">
        <w:rPr>
          <w:b/>
          <w:lang w:val="sk-SK"/>
        </w:rPr>
        <w:t>Národného kariérového portálu</w:t>
      </w:r>
      <w:r w:rsidR="00EE0797" w:rsidRPr="003E764C">
        <w:rPr>
          <w:b/>
          <w:lang w:val="sk-SK"/>
        </w:rPr>
        <w:t>“</w:t>
      </w:r>
      <w:r w:rsidR="00AE34E3" w:rsidRPr="00AE34E3">
        <w:rPr>
          <w:lang w:val="sk-SK"/>
        </w:rPr>
        <w:t xml:space="preserve">, ktorý umožní celoživotné sprevádzanie občana. </w:t>
      </w:r>
      <w:r w:rsidR="00AE34E3" w:rsidRPr="00EE0797">
        <w:rPr>
          <w:lang w:val="sk-SK"/>
        </w:rPr>
        <w:t xml:space="preserve">Tento portál </w:t>
      </w:r>
      <w:r w:rsidR="003E764C">
        <w:rPr>
          <w:lang w:val="sk-SK"/>
        </w:rPr>
        <w:t xml:space="preserve">bude poskytovať </w:t>
      </w:r>
      <w:r w:rsidR="00AB189F">
        <w:rPr>
          <w:lang w:val="sk-SK"/>
        </w:rPr>
        <w:t>všetky tri kategórie služieb a bude súčasťou systému Národných kariérových služieb</w:t>
      </w:r>
      <w:r w:rsidR="00EA6E80">
        <w:rPr>
          <w:lang w:val="sk-SK"/>
        </w:rPr>
        <w:t>. J</w:t>
      </w:r>
      <w:r w:rsidR="00EE0797" w:rsidRPr="00EE0797">
        <w:rPr>
          <w:lang w:val="sk-SK"/>
        </w:rPr>
        <w:t xml:space="preserve">e </w:t>
      </w:r>
      <w:r w:rsidR="00EA6E80">
        <w:rPr>
          <w:lang w:val="sk-SK"/>
        </w:rPr>
        <w:t>vhodné</w:t>
      </w:r>
      <w:r w:rsidR="00EE0797" w:rsidRPr="00EE0797">
        <w:rPr>
          <w:lang w:val="sk-SK"/>
        </w:rPr>
        <w:t xml:space="preserve"> </w:t>
      </w:r>
      <w:r w:rsidR="00EA6E80">
        <w:rPr>
          <w:lang w:val="sk-SK"/>
        </w:rPr>
        <w:t xml:space="preserve">ho </w:t>
      </w:r>
      <w:r w:rsidR="00EE0797">
        <w:rPr>
          <w:lang w:val="sk-SK"/>
        </w:rPr>
        <w:t xml:space="preserve">prepojiť napr. </w:t>
      </w:r>
      <w:r w:rsidR="00AE34E3" w:rsidRPr="00EE0797">
        <w:rPr>
          <w:lang w:val="sk-SK"/>
        </w:rPr>
        <w:t>s informáciami o osobnom vzdelávacom účte</w:t>
      </w:r>
      <w:r w:rsidR="00EA6E80">
        <w:rPr>
          <w:lang w:val="sk-SK"/>
        </w:rPr>
        <w:t xml:space="preserve"> občana</w:t>
      </w:r>
      <w:r w:rsidR="00E21AC3">
        <w:rPr>
          <w:lang w:val="sk-SK"/>
        </w:rPr>
        <w:t xml:space="preserve"> a zároveň ho vypracovať do formy osobného </w:t>
      </w:r>
      <w:r w:rsidR="00E21AC3" w:rsidRPr="00C00393">
        <w:rPr>
          <w:b/>
          <w:lang w:val="sk-SK"/>
        </w:rPr>
        <w:t>portfólia občana</w:t>
      </w:r>
      <w:r w:rsidR="00E21AC3">
        <w:rPr>
          <w:lang w:val="sk-SK"/>
        </w:rPr>
        <w:t>, ktorý mu umožní zaznamenávať a dokumentovať vzdelávacie a pracovné skúsenosti</w:t>
      </w:r>
      <w:r w:rsidR="00C00393">
        <w:rPr>
          <w:lang w:val="sk-SK"/>
        </w:rPr>
        <w:t xml:space="preserve"> a</w:t>
      </w:r>
      <w:r w:rsidR="00E21AC3">
        <w:rPr>
          <w:lang w:val="sk-SK"/>
        </w:rPr>
        <w:t xml:space="preserve"> nadobudnuté vedomosti a</w:t>
      </w:r>
      <w:r w:rsidR="00C00393">
        <w:rPr>
          <w:lang w:val="sk-SK"/>
        </w:rPr>
        <w:t> </w:t>
      </w:r>
      <w:r w:rsidR="00E21AC3">
        <w:rPr>
          <w:lang w:val="sk-SK"/>
        </w:rPr>
        <w:t>zručnosti</w:t>
      </w:r>
      <w:r w:rsidR="00C00393">
        <w:rPr>
          <w:rStyle w:val="FootnoteReference"/>
          <w:lang w:val="sk-SK"/>
        </w:rPr>
        <w:footnoteReference w:id="19"/>
      </w:r>
      <w:r w:rsidR="00AE34E3" w:rsidRPr="00EE0797">
        <w:rPr>
          <w:lang w:val="sk-SK"/>
        </w:rPr>
        <w:t>.</w:t>
      </w:r>
      <w:r w:rsidR="00532423">
        <w:rPr>
          <w:lang w:val="sk-SK"/>
        </w:rPr>
        <w:t xml:space="preserve"> </w:t>
      </w:r>
      <w:r w:rsidR="00707AB9">
        <w:rPr>
          <w:lang w:val="sk-SK"/>
        </w:rPr>
        <w:br w:type="page"/>
      </w:r>
    </w:p>
    <w:p w14:paraId="0CADAA52" w14:textId="77777777" w:rsidR="001762A8" w:rsidRDefault="00EF752E" w:rsidP="001762A8">
      <w:pPr>
        <w:pStyle w:val="Heading3"/>
        <w:rPr>
          <w:lang w:val="sk-SK"/>
        </w:rPr>
      </w:pPr>
      <w:r>
        <w:rPr>
          <w:lang w:val="sk-SK"/>
        </w:rPr>
        <w:lastRenderedPageBreak/>
        <w:t>PRIORITA</w:t>
      </w:r>
      <w:r w:rsidR="001762A8" w:rsidRPr="001762A8">
        <w:rPr>
          <w:lang w:val="sk-SK"/>
        </w:rPr>
        <w:t xml:space="preserve"> 2: ZVYŠOVAŤ KVALITU KARIÉROVÉHO PORADENSTVA</w:t>
      </w:r>
    </w:p>
    <w:p w14:paraId="0CADAA53" w14:textId="77777777" w:rsidR="00892397" w:rsidRPr="00892397" w:rsidRDefault="00892397" w:rsidP="00892397">
      <w:pPr>
        <w:rPr>
          <w:lang w:val="sk-SK"/>
        </w:rPr>
      </w:pPr>
    </w:p>
    <w:p w14:paraId="0CADAA54" w14:textId="77777777" w:rsidR="00B741A7" w:rsidRPr="00B741A7" w:rsidRDefault="00B741A7" w:rsidP="00B741A7">
      <w:pPr>
        <w:pStyle w:val="Heading4"/>
        <w:rPr>
          <w:lang w:val="sk-SK"/>
        </w:rPr>
      </w:pPr>
      <w:r>
        <w:rPr>
          <w:lang w:val="sk-SK"/>
        </w:rPr>
        <w:t xml:space="preserve">2.1 </w:t>
      </w:r>
      <w:r w:rsidRPr="00B741A7">
        <w:rPr>
          <w:lang w:val="sk-SK"/>
        </w:rPr>
        <w:t>Rozvoj zručností pre riadenie kariéry</w:t>
      </w:r>
    </w:p>
    <w:p w14:paraId="0CADAA55" w14:textId="4A6997DD" w:rsidR="00386952" w:rsidRPr="008B55D1" w:rsidRDefault="00386952" w:rsidP="00463E87">
      <w:pPr>
        <w:jc w:val="both"/>
        <w:rPr>
          <w:lang w:val="sk-SK"/>
        </w:rPr>
      </w:pPr>
      <w:r>
        <w:rPr>
          <w:lang w:val="sk-SK"/>
        </w:rPr>
        <w:t>Zručnosti pre riadenie kariéry</w:t>
      </w:r>
      <w:r w:rsidRPr="008B55D1">
        <w:rPr>
          <w:lang w:val="sk-SK"/>
        </w:rPr>
        <w:t xml:space="preserve"> umožňujú „štruktúrovaným spôsobom zbierať, analyzovať a usporiadať si informácie o sebe, vzdelávaní a  povolaniach, ako aj zručnosti plánovať a realizovať životné rozhodnutia a rôzne zmeny</w:t>
      </w:r>
      <w:r>
        <w:rPr>
          <w:rStyle w:val="FootnoteReference"/>
          <w:lang w:val="sk-SK"/>
        </w:rPr>
        <w:footnoteReference w:id="20"/>
      </w:r>
      <w:r w:rsidRPr="008B55D1">
        <w:rPr>
          <w:lang w:val="sk-SK"/>
        </w:rPr>
        <w:t xml:space="preserve">.“ </w:t>
      </w:r>
      <w:r w:rsidRPr="00463E87">
        <w:rPr>
          <w:lang w:val="sk-SK"/>
        </w:rPr>
        <w:t>Rozvoj zručnost</w:t>
      </w:r>
      <w:r w:rsidR="00526A13">
        <w:rPr>
          <w:lang w:val="sk-SK"/>
        </w:rPr>
        <w:t>í</w:t>
      </w:r>
      <w:r w:rsidRPr="00463E87">
        <w:rPr>
          <w:lang w:val="sk-SK"/>
        </w:rPr>
        <w:t xml:space="preserve"> pre riadenie vlastnej kariéry vedie k väčšej samostatnosti, zvýšenej motivácii vzdelávať a rozvíjať sa, lepšiemu uplatneniu na trhu práce a vyššej zamestnateľnosti. U občanov mimo trhu práce prispievajú tieto zručnosti k lepšej pracovnej integrácii, sociálnej inklúzii a aktívnemu občianstvu.</w:t>
      </w:r>
      <w:r w:rsidR="00463E87">
        <w:rPr>
          <w:lang w:val="sk-SK"/>
        </w:rPr>
        <w:t xml:space="preserve"> </w:t>
      </w:r>
      <w:r w:rsidRPr="008B55D1">
        <w:rPr>
          <w:lang w:val="sk-SK"/>
        </w:rPr>
        <w:t>Pre firmy je benefitom zvýšenie adaptability, mobility, ale aj produktivity pracovnej sily.</w:t>
      </w:r>
      <w:r w:rsidR="00E63422">
        <w:rPr>
          <w:lang w:val="sk-S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386952" w:rsidRPr="00432080" w14:paraId="0CADAA57" w14:textId="77777777" w:rsidTr="00B4417B">
        <w:tc>
          <w:tcPr>
            <w:tcW w:w="9500" w:type="dxa"/>
            <w:shd w:val="clear" w:color="auto" w:fill="D9E2F3" w:themeFill="accent1" w:themeFillTint="33"/>
          </w:tcPr>
          <w:p w14:paraId="0CADAA56" w14:textId="77777777" w:rsidR="00386952" w:rsidRPr="007C05BB" w:rsidRDefault="00386952" w:rsidP="00B4417B">
            <w:pPr>
              <w:rPr>
                <w:b/>
              </w:rPr>
            </w:pPr>
            <w:r w:rsidRPr="007C05BB">
              <w:rPr>
                <w:b/>
              </w:rPr>
              <w:t>Slovenská dobrá prax</w:t>
            </w:r>
            <w:r>
              <w:rPr>
                <w:b/>
              </w:rPr>
              <w:t>: Rámec faktorov zamestnateľnosti UPSVaR</w:t>
            </w:r>
          </w:p>
        </w:tc>
      </w:tr>
      <w:tr w:rsidR="00386952" w:rsidRPr="00432080" w14:paraId="0CADAA59" w14:textId="77777777" w:rsidTr="00B4417B">
        <w:tc>
          <w:tcPr>
            <w:tcW w:w="9500" w:type="dxa"/>
            <w:shd w:val="clear" w:color="auto" w:fill="D9E2F3" w:themeFill="accent1" w:themeFillTint="33"/>
          </w:tcPr>
          <w:p w14:paraId="0CADAA58" w14:textId="77777777" w:rsidR="00386952" w:rsidRPr="00ED3A91" w:rsidRDefault="00386952" w:rsidP="00B4417B">
            <w:pPr>
              <w:jc w:val="both"/>
            </w:pPr>
            <w:r>
              <w:t>Prístup postavený na rozvoji zručností pre riadenie vlastnej kariéry je využívaný v poskytovaných poradenských službách úradov práce, sociálnych vecí a rodiny. Rámec „faktorov zamestnateľnosti“ obsahuje konkrétne zručnosti, ktoré zvyšujú zamestnateľnosť uchádzača o zamestnanie, napr. schopnosť sledovať informácie o voľných pracovných miestach z viacerých zdrojov, schopnosť kontaktovať zamestnávateľa, schopnosť vypracovať písomnosti pre hľadanie zamestnania, schopnosť stanoviť si cielené zamestnanie a ďalšie. Tento rámec je využívaný pre stanovovanie individuálnych cieľov poradenskej služby a zisťovanie jej dopadov (formou dotazníka). Rámec bol vypracovaný v spolupráci s odbornými poradcami, zamestnávateľmi a metodikmi odborných poradenských služieb.</w:t>
            </w:r>
          </w:p>
        </w:tc>
      </w:tr>
      <w:tr w:rsidR="00386952" w:rsidRPr="00827279" w14:paraId="0CADAA5C" w14:textId="77777777" w:rsidTr="00B4417B">
        <w:tc>
          <w:tcPr>
            <w:tcW w:w="9500" w:type="dxa"/>
            <w:shd w:val="clear" w:color="auto" w:fill="D9E2F3" w:themeFill="accent1" w:themeFillTint="33"/>
          </w:tcPr>
          <w:p w14:paraId="0CADAA5A" w14:textId="77777777" w:rsidR="00386952" w:rsidRDefault="00386952" w:rsidP="00B4417B">
            <w:pPr>
              <w:jc w:val="both"/>
              <w:rPr>
                <w:i/>
              </w:rPr>
            </w:pPr>
          </w:p>
          <w:p w14:paraId="0CADAA5B" w14:textId="77777777" w:rsidR="00386952" w:rsidRPr="008E5AA7" w:rsidRDefault="00386952" w:rsidP="00B4417B">
            <w:pPr>
              <w:jc w:val="both"/>
              <w:rPr>
                <w:i/>
              </w:rPr>
            </w:pPr>
            <w:r>
              <w:rPr>
                <w:i/>
              </w:rPr>
              <w:t>Čo s tým ďalej?</w:t>
            </w:r>
          </w:p>
        </w:tc>
      </w:tr>
      <w:tr w:rsidR="00386952" w:rsidRPr="00432080" w14:paraId="0CADAA5E" w14:textId="77777777" w:rsidTr="00B4417B">
        <w:tc>
          <w:tcPr>
            <w:tcW w:w="9500" w:type="dxa"/>
            <w:shd w:val="clear" w:color="auto" w:fill="D9E2F3" w:themeFill="accent1" w:themeFillTint="33"/>
          </w:tcPr>
          <w:p w14:paraId="0CADAA5D" w14:textId="4FF3DFDD" w:rsidR="00386952" w:rsidRPr="00085AEB" w:rsidRDefault="00386952" w:rsidP="00526A13">
            <w:pPr>
              <w:jc w:val="both"/>
            </w:pPr>
            <w:r>
              <w:t xml:space="preserve">Hoci vytvorený rámec </w:t>
            </w:r>
            <w:r w:rsidR="00526A13">
              <w:t>Ú</w:t>
            </w:r>
            <w:r>
              <w:t>PSVaR obsahuje zručnosti špecifické pre hľadanie zamestnania, mnohé zo zručností sú relevantné aj pre celoživotné kariérové poradenstvo. Tento prvý experiment a dáta zozbierané pomocou faktorov zamestnateľnosti môže byť jedným z podkladov pre tvorbu Národného rámca zručností pre riadenie vlastnej kariéry.</w:t>
            </w:r>
          </w:p>
        </w:tc>
      </w:tr>
    </w:tbl>
    <w:p w14:paraId="0CADAA5F" w14:textId="434FBE6D" w:rsidR="00386952" w:rsidRPr="00FD0B18" w:rsidRDefault="00E63422" w:rsidP="00FD7A45">
      <w:pPr>
        <w:spacing w:before="120"/>
        <w:jc w:val="both"/>
        <w:rPr>
          <w:lang w:val="sk-SK"/>
        </w:rPr>
      </w:pPr>
      <w:r>
        <w:rPr>
          <w:lang w:val="sk-SK"/>
        </w:rPr>
        <w:t xml:space="preserve">Pre koherentnosť poradenského systému je strategickou prioritou </w:t>
      </w:r>
      <w:r w:rsidRPr="00B90C6E">
        <w:rPr>
          <w:b/>
          <w:lang w:val="sk-SK"/>
        </w:rPr>
        <w:t xml:space="preserve">vytvorenie </w:t>
      </w:r>
      <w:r w:rsidRPr="00B90C6E">
        <w:rPr>
          <w:rFonts w:eastAsia="Times New Roman" w:cstheme="minorHAnsi"/>
          <w:b/>
          <w:lang w:val="sk-SK" w:eastAsia="sk-SK"/>
        </w:rPr>
        <w:t>Národného rámca zručností pre riadenie kariéry</w:t>
      </w:r>
      <w:r>
        <w:rPr>
          <w:rFonts w:eastAsia="Times New Roman" w:cstheme="minorHAnsi"/>
          <w:lang w:val="sk-SK" w:eastAsia="sk-SK"/>
        </w:rPr>
        <w:t>.</w:t>
      </w:r>
      <w:r w:rsidR="00B90C6E">
        <w:rPr>
          <w:rFonts w:eastAsia="Times New Roman" w:cstheme="minorHAnsi"/>
          <w:lang w:val="sk-SK" w:eastAsia="sk-SK"/>
        </w:rPr>
        <w:t xml:space="preserve"> Do jeho tvorby budú zapojené relevantné ministerstvá, sociálni partneri, experti a poskytovatelia kariérového poradenstva.</w:t>
      </w:r>
      <w:r w:rsidR="004E3D37">
        <w:rPr>
          <w:rFonts w:eastAsia="Times New Roman" w:cstheme="minorHAnsi"/>
          <w:lang w:val="sk-SK" w:eastAsia="sk-SK"/>
        </w:rPr>
        <w:t xml:space="preserve"> Pre jeho maximálnu využiteľnosť by mal obsahovať podľa možnosti aj </w:t>
      </w:r>
      <w:r w:rsidR="0080224B">
        <w:rPr>
          <w:rFonts w:eastAsia="Times New Roman" w:cstheme="minorHAnsi"/>
          <w:lang w:val="sk-SK" w:eastAsia="sk-SK"/>
        </w:rPr>
        <w:t xml:space="preserve">pozorovateľné/merateľné </w:t>
      </w:r>
      <w:r w:rsidR="004E3D37">
        <w:rPr>
          <w:rFonts w:eastAsia="Times New Roman" w:cstheme="minorHAnsi"/>
          <w:lang w:val="sk-SK" w:eastAsia="sk-SK"/>
        </w:rPr>
        <w:t xml:space="preserve">indikátory nadobudnutia </w:t>
      </w:r>
      <w:r w:rsidR="0080224B">
        <w:rPr>
          <w:rFonts w:eastAsia="Times New Roman" w:cstheme="minorHAnsi"/>
          <w:lang w:val="sk-SK" w:eastAsia="sk-SK"/>
        </w:rPr>
        <w:t xml:space="preserve">jednotlivých </w:t>
      </w:r>
      <w:r w:rsidR="004E3D37">
        <w:rPr>
          <w:rFonts w:eastAsia="Times New Roman" w:cstheme="minorHAnsi"/>
          <w:lang w:val="sk-SK" w:eastAsia="sk-SK"/>
        </w:rPr>
        <w:t>kompetencií</w:t>
      </w:r>
      <w:r w:rsidR="00923949">
        <w:rPr>
          <w:rFonts w:eastAsia="Times New Roman" w:cstheme="minorHAnsi"/>
          <w:lang w:val="sk-SK" w:eastAsia="sk-SK"/>
        </w:rPr>
        <w:t xml:space="preserve"> </w:t>
      </w:r>
      <w:r w:rsidR="004E3D37">
        <w:rPr>
          <w:rFonts w:eastAsia="Times New Roman" w:cstheme="minorHAnsi"/>
          <w:lang w:val="sk-SK" w:eastAsia="sk-SK"/>
        </w:rPr>
        <w:t xml:space="preserve">a zohľadňovať </w:t>
      </w:r>
      <w:r w:rsidR="00200F32">
        <w:rPr>
          <w:rFonts w:eastAsia="Times New Roman" w:cstheme="minorHAnsi"/>
          <w:lang w:val="sk-SK" w:eastAsia="sk-SK"/>
        </w:rPr>
        <w:t>vývinové</w:t>
      </w:r>
      <w:r w:rsidR="004E3D37">
        <w:rPr>
          <w:rFonts w:eastAsia="Times New Roman" w:cstheme="minorHAnsi"/>
          <w:lang w:val="sk-SK" w:eastAsia="sk-SK"/>
        </w:rPr>
        <w:t xml:space="preserve"> hľadisko. </w:t>
      </w:r>
      <w:r w:rsidR="00923949">
        <w:rPr>
          <w:rFonts w:eastAsia="Times New Roman" w:cstheme="minorHAnsi"/>
          <w:lang w:val="sk-SK" w:eastAsia="sk-SK"/>
        </w:rPr>
        <w:t>Po jeho vypracovaní a prijatí bude mať rámec dopady v dvoch oblastiach:</w:t>
      </w:r>
      <w:r w:rsidR="00FD7A45">
        <w:rPr>
          <w:rFonts w:eastAsia="Times New Roman" w:cstheme="minorHAnsi"/>
          <w:lang w:val="sk-SK" w:eastAsia="sk-SK"/>
        </w:rPr>
        <w:t xml:space="preserve"> </w:t>
      </w:r>
      <w:r w:rsidR="00A91DD1">
        <w:rPr>
          <w:lang w:val="sk-SK"/>
        </w:rPr>
        <w:t>Integrácia rámca do štátnych vzdelávacích programov ISCED 0 – 4 v rámci kariérovej výchovy ako prierezov</w:t>
      </w:r>
      <w:r w:rsidR="002B4D70">
        <w:rPr>
          <w:lang w:val="sk-SK"/>
        </w:rPr>
        <w:t>ej témy</w:t>
      </w:r>
      <w:r w:rsidR="00FD7A45">
        <w:rPr>
          <w:lang w:val="sk-SK"/>
        </w:rPr>
        <w:t xml:space="preserve"> a </w:t>
      </w:r>
      <w:r w:rsidR="005D55DC">
        <w:rPr>
          <w:lang w:val="sk-SK"/>
        </w:rPr>
        <w:t>i</w:t>
      </w:r>
      <w:r w:rsidR="00426378" w:rsidRPr="00FD0B18">
        <w:rPr>
          <w:lang w:val="sk-SK"/>
        </w:rPr>
        <w:t xml:space="preserve">ntegrácia rámca do existujúcich </w:t>
      </w:r>
      <w:r w:rsidR="006B534E" w:rsidRPr="00FD0B18">
        <w:rPr>
          <w:lang w:val="sk-SK"/>
        </w:rPr>
        <w:t xml:space="preserve">poradenských programov, napr. formou </w:t>
      </w:r>
      <w:r w:rsidR="0015531E" w:rsidRPr="00FD0B18">
        <w:rPr>
          <w:lang w:val="sk-SK"/>
        </w:rPr>
        <w:t>úpravy existujúcich nástrojov, nastavenia hodnotiaceho systému a podobne.</w:t>
      </w:r>
    </w:p>
    <w:p w14:paraId="0CADAA60" w14:textId="77777777" w:rsidR="00B741A7" w:rsidRDefault="00B741A7" w:rsidP="00EF752E">
      <w:pPr>
        <w:pStyle w:val="Heading4"/>
        <w:rPr>
          <w:lang w:val="sk-SK"/>
        </w:rPr>
      </w:pPr>
    </w:p>
    <w:p w14:paraId="0CADAA61" w14:textId="77777777" w:rsidR="007A6D35" w:rsidRDefault="007A6D35">
      <w:pPr>
        <w:rPr>
          <w:rFonts w:asciiTheme="majorHAnsi" w:eastAsiaTheme="majorEastAsia" w:hAnsiTheme="majorHAnsi" w:cstheme="majorBidi"/>
          <w:i/>
          <w:iCs/>
          <w:color w:val="2F5496" w:themeColor="accent1" w:themeShade="BF"/>
          <w:lang w:val="sk-SK"/>
        </w:rPr>
      </w:pPr>
      <w:r>
        <w:rPr>
          <w:lang w:val="sk-SK"/>
        </w:rPr>
        <w:br w:type="page"/>
      </w:r>
    </w:p>
    <w:p w14:paraId="0CADAA6F" w14:textId="27FEAE42" w:rsidR="00B741A7" w:rsidRPr="00B741A7" w:rsidRDefault="00B741A7" w:rsidP="00B741A7">
      <w:pPr>
        <w:pStyle w:val="Heading4"/>
        <w:rPr>
          <w:lang w:val="sk-SK"/>
        </w:rPr>
      </w:pPr>
      <w:r>
        <w:rPr>
          <w:lang w:val="sk-SK"/>
        </w:rPr>
        <w:lastRenderedPageBreak/>
        <w:t>2.</w:t>
      </w:r>
      <w:r w:rsidR="004562E4">
        <w:rPr>
          <w:lang w:val="sk-SK"/>
        </w:rPr>
        <w:t>2</w:t>
      </w:r>
      <w:r>
        <w:rPr>
          <w:lang w:val="sk-SK"/>
        </w:rPr>
        <w:t xml:space="preserve"> </w:t>
      </w:r>
      <w:r w:rsidRPr="00B741A7">
        <w:rPr>
          <w:lang w:val="sk-SK"/>
        </w:rPr>
        <w:t>Riadenie kvality</w:t>
      </w:r>
    </w:p>
    <w:p w14:paraId="0CADAA70" w14:textId="77777777" w:rsidR="00E563F8" w:rsidRPr="008B55D1" w:rsidRDefault="00E563F8" w:rsidP="00865E38">
      <w:pPr>
        <w:jc w:val="both"/>
        <w:rPr>
          <w:lang w:val="sk-SK"/>
        </w:rPr>
      </w:pPr>
      <w:r w:rsidRPr="008B55D1">
        <w:rPr>
          <w:lang w:val="sk-SK"/>
        </w:rPr>
        <w:t>Riadenie kvality vedie k efektívnemu vynakladaniu zdrojov – financovaná je overená služba, ktorá spĺňa vopred definované požiadavky a prináša očakávaný úžitok</w:t>
      </w:r>
      <w:r w:rsidR="00F73425">
        <w:rPr>
          <w:lang w:val="sk-SK"/>
        </w:rPr>
        <w:t>. R</w:t>
      </w:r>
      <w:r w:rsidR="00F73425" w:rsidRPr="008B55D1">
        <w:rPr>
          <w:lang w:val="sk-SK"/>
        </w:rPr>
        <w:t>ozvoj spoločných štandardov a princípov, monitorovanie a neustále zlepšovanie služieb, aktivít a</w:t>
      </w:r>
      <w:r w:rsidR="00F73425">
        <w:rPr>
          <w:lang w:val="sk-SK"/>
        </w:rPr>
        <w:t> </w:t>
      </w:r>
      <w:r w:rsidR="00F73425" w:rsidRPr="008B55D1">
        <w:rPr>
          <w:lang w:val="sk-SK"/>
        </w:rPr>
        <w:t>produktov</w:t>
      </w:r>
      <w:r w:rsidR="00F73425">
        <w:rPr>
          <w:lang w:val="sk-SK"/>
        </w:rPr>
        <w:t xml:space="preserve"> zabezpečuje, že o</w:t>
      </w:r>
      <w:r w:rsidRPr="008B55D1">
        <w:rPr>
          <w:lang w:val="sk-SK"/>
        </w:rPr>
        <w:t xml:space="preserve">bčania dostávajú </w:t>
      </w:r>
      <w:r w:rsidR="00F73425">
        <w:rPr>
          <w:lang w:val="sk-SK"/>
        </w:rPr>
        <w:t xml:space="preserve">kvalitnú </w:t>
      </w:r>
      <w:r w:rsidRPr="008B55D1">
        <w:rPr>
          <w:lang w:val="sk-SK"/>
        </w:rPr>
        <w:t>službu</w:t>
      </w:r>
      <w:r w:rsidR="001D1A83">
        <w:rPr>
          <w:lang w:val="sk-SK"/>
        </w:rPr>
        <w:t xml:space="preserve"> a zároveň </w:t>
      </w:r>
      <w:r w:rsidR="00D933D0">
        <w:rPr>
          <w:lang w:val="sk-SK"/>
        </w:rPr>
        <w:t xml:space="preserve">to </w:t>
      </w:r>
      <w:r w:rsidR="001D1A83">
        <w:rPr>
          <w:lang w:val="sk-SK"/>
        </w:rPr>
        <w:t>zlepšuje</w:t>
      </w:r>
      <w:r w:rsidRPr="008B55D1">
        <w:rPr>
          <w:lang w:val="sk-SK"/>
        </w:rPr>
        <w:t xml:space="preserve"> kompatibilitu služieb medzi rôznymi sektormi a regiónmi.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E563F8" w:rsidRPr="00432080" w14:paraId="0CADAA72" w14:textId="77777777" w:rsidTr="00B4417B">
        <w:tc>
          <w:tcPr>
            <w:tcW w:w="9500" w:type="dxa"/>
            <w:shd w:val="clear" w:color="auto" w:fill="D9E2F3" w:themeFill="accent1" w:themeFillTint="33"/>
          </w:tcPr>
          <w:p w14:paraId="0CADAA71" w14:textId="77777777" w:rsidR="00E563F8" w:rsidRPr="008B55D1" w:rsidRDefault="00E563F8" w:rsidP="00B4417B">
            <w:r w:rsidRPr="007C05BB">
              <w:rPr>
                <w:b/>
              </w:rPr>
              <w:t>Slovenská dobrá prax</w:t>
            </w:r>
            <w:r>
              <w:rPr>
                <w:b/>
              </w:rPr>
              <w:t>: štandard kvality vznikajúci „zdola“</w:t>
            </w:r>
          </w:p>
        </w:tc>
      </w:tr>
      <w:tr w:rsidR="00E563F8" w:rsidRPr="00432080" w14:paraId="0CADAA74" w14:textId="77777777" w:rsidTr="00B4417B">
        <w:tc>
          <w:tcPr>
            <w:tcW w:w="9500" w:type="dxa"/>
            <w:shd w:val="clear" w:color="auto" w:fill="D9E2F3" w:themeFill="accent1" w:themeFillTint="33"/>
          </w:tcPr>
          <w:p w14:paraId="0CADAA73" w14:textId="77777777" w:rsidR="00E563F8" w:rsidRPr="008B55D1" w:rsidRDefault="00E563F8" w:rsidP="00B4417B">
            <w:pPr>
              <w:jc w:val="both"/>
            </w:pPr>
            <w:r>
              <w:t>Združenie pre kariérové poradenstvo a rozvoj kariéry spolu s partnermi v roku 2017 iniciovalo proces tvorby štandardu kvality pre kariérových poradcov a poskytovateľov kariérového poradenstva. Využíva pritom know-how zahraničných partnerov. Prvá verzia štandardu je pripravená na verejné pripomienkové konanie. Cieľom štandardu je prispieť k zvýšeniu kvality služby (súčasťou štandardu sú aj sebahodnotiace nástroje a vzdelávací program), ale aj k spoločnému chápaniu kariérového poradenstva v rôznych sektoroch a zlepšiť čitateľnosť služby z pohľadu konečného užívateľa a potenciálne aj štátu (udeľovanie „značky kvality“).</w:t>
            </w:r>
          </w:p>
        </w:tc>
      </w:tr>
      <w:tr w:rsidR="00E563F8" w:rsidRPr="00644CAA" w14:paraId="0CADAA77" w14:textId="77777777" w:rsidTr="00B4417B">
        <w:tc>
          <w:tcPr>
            <w:tcW w:w="9500" w:type="dxa"/>
            <w:shd w:val="clear" w:color="auto" w:fill="D9E2F3" w:themeFill="accent1" w:themeFillTint="33"/>
          </w:tcPr>
          <w:p w14:paraId="0CADAA75" w14:textId="77777777" w:rsidR="00E563F8" w:rsidRDefault="00E563F8" w:rsidP="00B4417B">
            <w:pPr>
              <w:jc w:val="both"/>
              <w:rPr>
                <w:i/>
              </w:rPr>
            </w:pPr>
          </w:p>
          <w:p w14:paraId="0CADAA76" w14:textId="77777777" w:rsidR="00E563F8" w:rsidRDefault="00E563F8" w:rsidP="00B4417B">
            <w:pPr>
              <w:jc w:val="both"/>
            </w:pPr>
            <w:r>
              <w:rPr>
                <w:i/>
              </w:rPr>
              <w:t>Čo s tým ďalej?</w:t>
            </w:r>
          </w:p>
        </w:tc>
      </w:tr>
      <w:tr w:rsidR="00E563F8" w:rsidRPr="00644CAA" w14:paraId="0CADAA79" w14:textId="77777777" w:rsidTr="00B4417B">
        <w:tc>
          <w:tcPr>
            <w:tcW w:w="9500" w:type="dxa"/>
            <w:shd w:val="clear" w:color="auto" w:fill="D9E2F3" w:themeFill="accent1" w:themeFillTint="33"/>
          </w:tcPr>
          <w:p w14:paraId="0CADAA78" w14:textId="59DFEE4F" w:rsidR="00E563F8" w:rsidRPr="005A71F9" w:rsidRDefault="00E563F8" w:rsidP="00D933D0">
            <w:pPr>
              <w:jc w:val="both"/>
            </w:pPr>
            <w:r>
              <w:t>Napriek rôznorodosti služieb a poskytovateľov kariérového poradenstva existujú konkrétne príklady jednotných požiadaviek a štandardov kvality pre poskytovateľov kariérového poradenstva naprieč sektormi a službami (napr. Matrix Štandard vo Veľkej Británii</w:t>
            </w:r>
            <w:r>
              <w:rPr>
                <w:rStyle w:val="FootnoteReference"/>
              </w:rPr>
              <w:footnoteReference w:id="21"/>
            </w:r>
            <w:r>
              <w:t xml:space="preserve">). Takýto prístup prispieva ku koherencii systému celoživotného poradenstva: užívateľ si môže byť istý, že základné princípy a požiadavky kvality bude služba spĺňať bez ohľadu na poskytovateľa a jeho životný kontext. Je toto cesta aj pre Slovensko? </w:t>
            </w:r>
          </w:p>
        </w:tc>
      </w:tr>
    </w:tbl>
    <w:p w14:paraId="66484812" w14:textId="566F9DF0" w:rsidR="00A07765" w:rsidRDefault="001D1A83" w:rsidP="0075726A">
      <w:pPr>
        <w:spacing w:before="120"/>
        <w:jc w:val="both"/>
        <w:rPr>
          <w:lang w:val="sk-SK"/>
        </w:rPr>
      </w:pPr>
      <w:r w:rsidRPr="00E806DA">
        <w:rPr>
          <w:lang w:val="sk-SK"/>
        </w:rPr>
        <w:t>Strategick</w:t>
      </w:r>
      <w:r w:rsidR="004855A1" w:rsidRPr="00E806DA">
        <w:rPr>
          <w:lang w:val="sk-SK"/>
        </w:rPr>
        <w:t xml:space="preserve">ou prioritou je </w:t>
      </w:r>
      <w:r w:rsidR="004855A1" w:rsidRPr="00361C19">
        <w:rPr>
          <w:b/>
          <w:lang w:val="sk-SK"/>
        </w:rPr>
        <w:t>vytvorenie štandardu kvality pre poskytovateľov kariérového poradenstva</w:t>
      </w:r>
      <w:r w:rsidR="004855A1" w:rsidRPr="00E806DA">
        <w:rPr>
          <w:lang w:val="sk-SK"/>
        </w:rPr>
        <w:t xml:space="preserve">, ktorý bude </w:t>
      </w:r>
      <w:r w:rsidR="00B47540" w:rsidRPr="00E806DA">
        <w:rPr>
          <w:lang w:val="sk-SK"/>
        </w:rPr>
        <w:t xml:space="preserve">zabezpečovať rešpektovanie základných rámcových princípov </w:t>
      </w:r>
      <w:r w:rsidR="00B03B42">
        <w:rPr>
          <w:lang w:val="sk-SK"/>
        </w:rPr>
        <w:t xml:space="preserve">v kariérovom poradenstve </w:t>
      </w:r>
      <w:r w:rsidR="00B47540" w:rsidRPr="00361C19">
        <w:rPr>
          <w:b/>
          <w:lang w:val="sk-SK"/>
        </w:rPr>
        <w:t>naprieč všetkými sektormi</w:t>
      </w:r>
      <w:r w:rsidR="00E806DA">
        <w:rPr>
          <w:rStyle w:val="FootnoteReference"/>
          <w:lang w:val="sk-SK"/>
        </w:rPr>
        <w:footnoteReference w:id="22"/>
      </w:r>
      <w:r w:rsidR="00B47540" w:rsidRPr="00E806DA">
        <w:rPr>
          <w:lang w:val="sk-SK"/>
        </w:rPr>
        <w:t xml:space="preserve">. </w:t>
      </w:r>
      <w:r w:rsidR="000D1AB5">
        <w:rPr>
          <w:lang w:val="sk-SK"/>
        </w:rPr>
        <w:t>Pre posilnenie multidisciplinárneho charakteru celoživotného kariérového poradenstva by t</w:t>
      </w:r>
      <w:r w:rsidR="00B47004">
        <w:rPr>
          <w:lang w:val="sk-SK"/>
        </w:rPr>
        <w:t>ento štandard mal pokrývať nasledovné oblasti kvality služby</w:t>
      </w:r>
      <w:r w:rsidR="000D1AB5">
        <w:rPr>
          <w:rStyle w:val="FootnoteReference"/>
          <w:lang w:val="sk-SK"/>
        </w:rPr>
        <w:footnoteReference w:id="23"/>
      </w:r>
      <w:r w:rsidR="00B47004">
        <w:rPr>
          <w:lang w:val="sk-SK"/>
        </w:rPr>
        <w:t>:</w:t>
      </w:r>
    </w:p>
    <w:p w14:paraId="3604BFCB" w14:textId="0A49F34C" w:rsidR="00B47004" w:rsidRDefault="00897532" w:rsidP="00B47004">
      <w:pPr>
        <w:pStyle w:val="ListParagraph"/>
        <w:numPr>
          <w:ilvl w:val="0"/>
          <w:numId w:val="18"/>
        </w:numPr>
        <w:spacing w:before="120"/>
        <w:jc w:val="both"/>
        <w:rPr>
          <w:lang w:val="sk-SK"/>
        </w:rPr>
      </w:pPr>
      <w:r>
        <w:rPr>
          <w:lang w:val="sk-SK"/>
        </w:rPr>
        <w:t>Plánovanie a riadenie podľa cieľov</w:t>
      </w:r>
    </w:p>
    <w:p w14:paraId="52076940" w14:textId="355C59C9" w:rsidR="00897532" w:rsidRDefault="00897532" w:rsidP="00B47004">
      <w:pPr>
        <w:pStyle w:val="ListParagraph"/>
        <w:numPr>
          <w:ilvl w:val="0"/>
          <w:numId w:val="18"/>
        </w:numPr>
        <w:spacing w:before="120"/>
        <w:jc w:val="both"/>
        <w:rPr>
          <w:lang w:val="sk-SK"/>
        </w:rPr>
      </w:pPr>
      <w:r>
        <w:rPr>
          <w:lang w:val="sk-SK"/>
        </w:rPr>
        <w:t>Kvalita využívaných informačných zdrojov kariérových informácií</w:t>
      </w:r>
      <w:r w:rsidR="00B851F6">
        <w:rPr>
          <w:lang w:val="sk-SK"/>
        </w:rPr>
        <w:t xml:space="preserve"> a využívaných nástrojov</w:t>
      </w:r>
    </w:p>
    <w:p w14:paraId="2044AB86" w14:textId="57863BD1" w:rsidR="00897532" w:rsidRDefault="00293CDC" w:rsidP="00B47004">
      <w:pPr>
        <w:pStyle w:val="ListParagraph"/>
        <w:numPr>
          <w:ilvl w:val="0"/>
          <w:numId w:val="18"/>
        </w:numPr>
        <w:spacing w:before="120"/>
        <w:jc w:val="both"/>
        <w:rPr>
          <w:lang w:val="sk-SK"/>
        </w:rPr>
      </w:pPr>
      <w:r>
        <w:rPr>
          <w:lang w:val="sk-SK"/>
        </w:rPr>
        <w:t>Prepojenie poskytovateľa so svetom práce</w:t>
      </w:r>
    </w:p>
    <w:p w14:paraId="0ADBAB86" w14:textId="4CEB3C98" w:rsidR="00766704" w:rsidRDefault="00766704" w:rsidP="00B47004">
      <w:pPr>
        <w:pStyle w:val="ListParagraph"/>
        <w:numPr>
          <w:ilvl w:val="0"/>
          <w:numId w:val="18"/>
        </w:numPr>
        <w:spacing w:before="120"/>
        <w:jc w:val="both"/>
        <w:rPr>
          <w:lang w:val="sk-SK"/>
        </w:rPr>
      </w:pPr>
      <w:r>
        <w:rPr>
          <w:lang w:val="sk-SK"/>
        </w:rPr>
        <w:t>Kvalifikácia a vzdelanie poradcov</w:t>
      </w:r>
    </w:p>
    <w:p w14:paraId="47083380" w14:textId="497439D6" w:rsidR="00293CDC" w:rsidRDefault="00B851F6" w:rsidP="00B47004">
      <w:pPr>
        <w:pStyle w:val="ListParagraph"/>
        <w:numPr>
          <w:ilvl w:val="0"/>
          <w:numId w:val="18"/>
        </w:numPr>
        <w:spacing w:before="120"/>
        <w:jc w:val="both"/>
        <w:rPr>
          <w:lang w:val="sk-SK"/>
        </w:rPr>
      </w:pPr>
      <w:r>
        <w:rPr>
          <w:lang w:val="sk-SK"/>
        </w:rPr>
        <w:t>Nestrannosť, n</w:t>
      </w:r>
      <w:r w:rsidR="00293CDC">
        <w:rPr>
          <w:lang w:val="sk-SK"/>
        </w:rPr>
        <w:t>ezávislé nasmerovanie klienta</w:t>
      </w:r>
    </w:p>
    <w:p w14:paraId="7C4AC95B" w14:textId="0C0168C4" w:rsidR="00280233" w:rsidRDefault="00280233" w:rsidP="00B47004">
      <w:pPr>
        <w:pStyle w:val="ListParagraph"/>
        <w:numPr>
          <w:ilvl w:val="0"/>
          <w:numId w:val="18"/>
        </w:numPr>
        <w:spacing w:before="120"/>
        <w:jc w:val="both"/>
        <w:rPr>
          <w:lang w:val="sk-SK"/>
        </w:rPr>
      </w:pPr>
      <w:r>
        <w:rPr>
          <w:lang w:val="sk-SK"/>
        </w:rPr>
        <w:t>Aktívna rola klienta a rozvoj zručností pre riadenie kariéry</w:t>
      </w:r>
    </w:p>
    <w:p w14:paraId="0E824D0E" w14:textId="4C517F06" w:rsidR="00766704" w:rsidRDefault="00766704" w:rsidP="00B47004">
      <w:pPr>
        <w:pStyle w:val="ListParagraph"/>
        <w:numPr>
          <w:ilvl w:val="0"/>
          <w:numId w:val="18"/>
        </w:numPr>
        <w:spacing w:before="120"/>
        <w:jc w:val="both"/>
        <w:rPr>
          <w:lang w:val="sk-SK"/>
        </w:rPr>
      </w:pPr>
      <w:r>
        <w:rPr>
          <w:lang w:val="sk-SK"/>
        </w:rPr>
        <w:t>Zisťovanie dopadov služby</w:t>
      </w:r>
    </w:p>
    <w:p w14:paraId="2D1CCEEB" w14:textId="1B28DAD4" w:rsidR="00280233" w:rsidRDefault="001F68B1" w:rsidP="00B47004">
      <w:pPr>
        <w:pStyle w:val="ListParagraph"/>
        <w:numPr>
          <w:ilvl w:val="0"/>
          <w:numId w:val="18"/>
        </w:numPr>
        <w:spacing w:before="120"/>
        <w:jc w:val="both"/>
        <w:rPr>
          <w:lang w:val="sk-SK"/>
        </w:rPr>
      </w:pPr>
      <w:r>
        <w:rPr>
          <w:lang w:val="sk-SK"/>
        </w:rPr>
        <w:t>Riadenie a z</w:t>
      </w:r>
      <w:r w:rsidR="00766704">
        <w:rPr>
          <w:lang w:val="sk-SK"/>
        </w:rPr>
        <w:t>lepšovanie kvality</w:t>
      </w:r>
    </w:p>
    <w:p w14:paraId="0CADAA7A" w14:textId="34240E60" w:rsidR="00E563F8" w:rsidRPr="00885298" w:rsidRDefault="00E2401C" w:rsidP="0075726A">
      <w:pPr>
        <w:spacing w:before="120"/>
        <w:jc w:val="both"/>
        <w:rPr>
          <w:lang w:val="sk-SK"/>
        </w:rPr>
      </w:pPr>
      <w:r>
        <w:rPr>
          <w:lang w:val="sk-SK"/>
        </w:rPr>
        <w:t xml:space="preserve">Implementácia tohto štandardu </w:t>
      </w:r>
      <w:r w:rsidR="00885298">
        <w:rPr>
          <w:lang w:val="sk-SK"/>
        </w:rPr>
        <w:t>v oblasti kariérového poradenstva pre dospelých bude spočívať vo vytvorení</w:t>
      </w:r>
      <w:r w:rsidR="00885298" w:rsidRPr="00885298">
        <w:rPr>
          <w:lang w:val="sk-SK"/>
        </w:rPr>
        <w:t xml:space="preserve"> nezávisl</w:t>
      </w:r>
      <w:r w:rsidR="00885298">
        <w:rPr>
          <w:lang w:val="sk-SK"/>
        </w:rPr>
        <w:t>ého</w:t>
      </w:r>
      <w:r w:rsidR="00885298" w:rsidRPr="00885298">
        <w:rPr>
          <w:lang w:val="sk-SK"/>
        </w:rPr>
        <w:t xml:space="preserve"> orgán</w:t>
      </w:r>
      <w:r w:rsidR="00885298">
        <w:rPr>
          <w:lang w:val="sk-SK"/>
        </w:rPr>
        <w:t>u</w:t>
      </w:r>
      <w:r w:rsidR="00885298" w:rsidRPr="00885298">
        <w:rPr>
          <w:lang w:val="sk-SK"/>
        </w:rPr>
        <w:t xml:space="preserve"> zodpovedn</w:t>
      </w:r>
      <w:r w:rsidR="00885298">
        <w:rPr>
          <w:lang w:val="sk-SK"/>
        </w:rPr>
        <w:t>ého</w:t>
      </w:r>
      <w:r w:rsidR="00885298" w:rsidRPr="00885298">
        <w:rPr>
          <w:lang w:val="sk-SK"/>
        </w:rPr>
        <w:t xml:space="preserve"> za udeľovanie akreditácie kvality pre poskytovateľov </w:t>
      </w:r>
      <w:r w:rsidR="00885298" w:rsidRPr="00885298">
        <w:rPr>
          <w:lang w:val="sk-SK"/>
        </w:rPr>
        <w:lastRenderedPageBreak/>
        <w:t>kariérového poradenstva</w:t>
      </w:r>
      <w:r w:rsidR="000E72B2">
        <w:rPr>
          <w:lang w:val="sk-SK"/>
        </w:rPr>
        <w:t xml:space="preserve"> – táto rola môže byť zverená profesijným združeniam</w:t>
      </w:r>
      <w:r w:rsidR="00885298">
        <w:rPr>
          <w:lang w:val="sk-SK"/>
        </w:rPr>
        <w:t>.</w:t>
      </w:r>
      <w:r w:rsidR="007C5709">
        <w:rPr>
          <w:lang w:val="sk-SK"/>
        </w:rPr>
        <w:t xml:space="preserve"> </w:t>
      </w:r>
      <w:r w:rsidR="00B80EF4">
        <w:rPr>
          <w:lang w:val="sk-SK"/>
        </w:rPr>
        <w:t>Dôsledná implementácia systému riadenia kvality predpokladá tiež požadovanie takejto formy akreditácie</w:t>
      </w:r>
      <w:r w:rsidR="008C2B25">
        <w:rPr>
          <w:lang w:val="sk-SK"/>
        </w:rPr>
        <w:t xml:space="preserve"> poskytovateľov</w:t>
      </w:r>
      <w:r w:rsidR="00B80EF4">
        <w:rPr>
          <w:lang w:val="sk-SK"/>
        </w:rPr>
        <w:t xml:space="preserve"> ako podmienky pre prístup k verejným zdrojom určených na kariérové poradenstvo (napr. v</w:t>
      </w:r>
      <w:r w:rsidR="008C2B25">
        <w:rPr>
          <w:lang w:val="sk-SK"/>
        </w:rPr>
        <w:t xml:space="preserve"> dopytových</w:t>
      </w:r>
      <w:r w:rsidR="00B80EF4">
        <w:rPr>
          <w:lang w:val="sk-SK"/>
        </w:rPr>
        <w:t xml:space="preserve"> projektoch</w:t>
      </w:r>
      <w:r w:rsidR="008C2B25">
        <w:rPr>
          <w:lang w:val="sk-SK"/>
        </w:rPr>
        <w:t xml:space="preserve"> v prípade súkromných poskytovateľov</w:t>
      </w:r>
      <w:r w:rsidR="00B9506D">
        <w:rPr>
          <w:lang w:val="sk-SK"/>
        </w:rPr>
        <w:t xml:space="preserve"> kariérového poradenstva</w:t>
      </w:r>
      <w:r w:rsidR="00B80EF4">
        <w:rPr>
          <w:lang w:val="sk-SK"/>
        </w:rPr>
        <w:t>).</w:t>
      </w:r>
    </w:p>
    <w:p w14:paraId="4F24CA66" w14:textId="77777777" w:rsidR="004562E4" w:rsidRDefault="004562E4" w:rsidP="004562E4">
      <w:pPr>
        <w:pStyle w:val="Heading4"/>
        <w:rPr>
          <w:lang w:val="sk-SK"/>
        </w:rPr>
      </w:pPr>
    </w:p>
    <w:p w14:paraId="53A039D1" w14:textId="6A90C6BA" w:rsidR="004562E4" w:rsidRPr="00EF752E" w:rsidRDefault="004562E4" w:rsidP="004562E4">
      <w:pPr>
        <w:pStyle w:val="Heading4"/>
        <w:rPr>
          <w:lang w:val="sk-SK"/>
        </w:rPr>
      </w:pPr>
      <w:r>
        <w:rPr>
          <w:lang w:val="sk-SK"/>
        </w:rPr>
        <w:t xml:space="preserve">2.3 </w:t>
      </w:r>
      <w:r w:rsidRPr="00EF752E">
        <w:rPr>
          <w:lang w:val="sk-SK"/>
        </w:rPr>
        <w:t>Vzdelávanie a kvalifikácia poradcov a riadiacich pracovníkov</w:t>
      </w:r>
    </w:p>
    <w:p w14:paraId="44D6E556" w14:textId="77777777" w:rsidR="004562E4" w:rsidRPr="006E668F" w:rsidRDefault="004562E4" w:rsidP="004562E4">
      <w:pPr>
        <w:jc w:val="both"/>
        <w:rPr>
          <w:u w:val="single"/>
          <w:lang w:val="sk-SK"/>
        </w:rPr>
      </w:pPr>
      <w:r w:rsidRPr="008B55D1">
        <w:rPr>
          <w:lang w:val="sk-SK"/>
        </w:rPr>
        <w:t>Zahŕňa počiatočné a ďalšie vzdelávanie kariérových poradcov a rozvoj vedomostí, zručností, kompetencií a postojov pre poskytovanie poradenstva. Kompetencie poradcu sú najdôležitejším predpokladom kvalitnej služby</w:t>
      </w:r>
      <w:r>
        <w:rPr>
          <w:lang w:val="sk-SK"/>
        </w:rPr>
        <w:t xml:space="preserve"> a p</w:t>
      </w:r>
      <w:r w:rsidRPr="008B55D1">
        <w:rPr>
          <w:lang w:val="sk-SK"/>
        </w:rPr>
        <w:t xml:space="preserve">otreby občanov v rámci </w:t>
      </w:r>
      <w:r>
        <w:rPr>
          <w:lang w:val="sk-SK"/>
        </w:rPr>
        <w:t xml:space="preserve">celoživotného poradenstva </w:t>
      </w:r>
      <w:r w:rsidRPr="008B55D1">
        <w:rPr>
          <w:lang w:val="sk-SK"/>
        </w:rPr>
        <w:t xml:space="preserve">by mali byť adresované </w:t>
      </w:r>
      <w:r>
        <w:rPr>
          <w:lang w:val="sk-SK"/>
        </w:rPr>
        <w:t>na požadovanej profesionálnej úrovni.</w:t>
      </w:r>
      <w:r w:rsidRPr="008B55D1">
        <w:rPr>
          <w:lang w:val="sk-SK"/>
        </w:rPr>
        <w:t xml:space="preserve"> Kvalifikovaní poradcovia dokážu lepšie reagovať na potreby a očakávania občanov, ako aj tvorcov politík.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60"/>
      </w:tblGrid>
      <w:tr w:rsidR="004562E4" w:rsidRPr="00432080" w14:paraId="537EF618" w14:textId="77777777" w:rsidTr="00CD2EAA">
        <w:tc>
          <w:tcPr>
            <w:tcW w:w="9360" w:type="dxa"/>
            <w:shd w:val="clear" w:color="auto" w:fill="D9E2F3" w:themeFill="accent1" w:themeFillTint="33"/>
          </w:tcPr>
          <w:p w14:paraId="0328E8FD" w14:textId="77777777" w:rsidR="004562E4" w:rsidRPr="00021770" w:rsidRDefault="004562E4" w:rsidP="00CD2EAA">
            <w:pPr>
              <w:rPr>
                <w:b/>
              </w:rPr>
            </w:pPr>
            <w:r w:rsidRPr="007C05BB">
              <w:rPr>
                <w:b/>
              </w:rPr>
              <w:t>Slovenská dobrá prax</w:t>
            </w:r>
            <w:r>
              <w:rPr>
                <w:b/>
              </w:rPr>
              <w:t xml:space="preserve">: </w:t>
            </w:r>
            <w:r>
              <w:rPr>
                <w:b/>
                <w:shd w:val="clear" w:color="auto" w:fill="D9E2F3" w:themeFill="accent1" w:themeFillTint="33"/>
              </w:rPr>
              <w:t xml:space="preserve"> neformálne vzdelávanie profesijných združení</w:t>
            </w:r>
          </w:p>
        </w:tc>
      </w:tr>
      <w:tr w:rsidR="004562E4" w:rsidRPr="00432080" w14:paraId="3704133A" w14:textId="77777777" w:rsidTr="00CD2EAA">
        <w:tc>
          <w:tcPr>
            <w:tcW w:w="9360" w:type="dxa"/>
            <w:shd w:val="clear" w:color="auto" w:fill="D9E2F3" w:themeFill="accent1" w:themeFillTint="33"/>
          </w:tcPr>
          <w:p w14:paraId="48B3DBCD" w14:textId="77777777" w:rsidR="004562E4" w:rsidRPr="008B55D1" w:rsidRDefault="004562E4" w:rsidP="00CD2EAA">
            <w:pPr>
              <w:jc w:val="both"/>
            </w:pPr>
            <w:r>
              <w:t>Kvantita a kvalita vzdelávacích príležitostí v oblasti kariérového poradenstva v posledných rokoch značne stúpla. Asociácia lektorov a kariérnych poradcov poskytuje neformálne vzdelávanie pre kariérových poradcov, ako aj akreditované vzdelávanie pre pedagogických a odborných zamestnancov. Od roku 2017 tieto kurzy absolvovalo niekoľko desiatok účastníkov – oceňujú najmä praktické zameranie kurzov. Mnohé neziskové organizácie ponúkajú vzdelávanie v oblasti kariérového poradenstva, často v rámci rôznych projektov.</w:t>
            </w:r>
          </w:p>
        </w:tc>
      </w:tr>
      <w:tr w:rsidR="004562E4" w:rsidRPr="008B55D1" w14:paraId="6C2D7C0A" w14:textId="77777777" w:rsidTr="00CD2EAA">
        <w:tc>
          <w:tcPr>
            <w:tcW w:w="9360" w:type="dxa"/>
            <w:shd w:val="clear" w:color="auto" w:fill="D9E2F3" w:themeFill="accent1" w:themeFillTint="33"/>
          </w:tcPr>
          <w:p w14:paraId="3262640C" w14:textId="77777777" w:rsidR="004562E4" w:rsidRDefault="004562E4" w:rsidP="00CD2EAA">
            <w:pPr>
              <w:jc w:val="both"/>
              <w:rPr>
                <w:i/>
              </w:rPr>
            </w:pPr>
          </w:p>
          <w:p w14:paraId="03A5013F" w14:textId="77777777" w:rsidR="004562E4" w:rsidRDefault="004562E4" w:rsidP="00CD2EAA">
            <w:pPr>
              <w:jc w:val="both"/>
            </w:pPr>
            <w:r>
              <w:rPr>
                <w:i/>
              </w:rPr>
              <w:t>Čo s tým ďalej?</w:t>
            </w:r>
          </w:p>
        </w:tc>
      </w:tr>
      <w:tr w:rsidR="004562E4" w:rsidRPr="008B55D1" w14:paraId="1DEC69BC" w14:textId="77777777" w:rsidTr="00CD2EAA">
        <w:tc>
          <w:tcPr>
            <w:tcW w:w="9360" w:type="dxa"/>
            <w:shd w:val="clear" w:color="auto" w:fill="D9E2F3" w:themeFill="accent1" w:themeFillTint="33"/>
          </w:tcPr>
          <w:p w14:paraId="27FC87A4" w14:textId="77777777" w:rsidR="004562E4" w:rsidRPr="003C470F" w:rsidRDefault="004562E4" w:rsidP="00CD2EAA">
            <w:pPr>
              <w:jc w:val="both"/>
            </w:pPr>
            <w:r>
              <w:t>Know-how profesijných združení a ďalších poskytovateľov neformálneho vzdelávania môžu využiť inštitúcie zodpovedné za riadenie poradenského systému pre vzdelávanie kariérových poradcov pracujúcich na úradoch práce, na školách a v poradenských zariadeniach.</w:t>
            </w:r>
          </w:p>
        </w:tc>
      </w:tr>
    </w:tbl>
    <w:p w14:paraId="11A10BE5" w14:textId="77777777" w:rsidR="004562E4" w:rsidRPr="008B55D1" w:rsidRDefault="004562E4" w:rsidP="004562E4">
      <w:pPr>
        <w:spacing w:before="120"/>
        <w:jc w:val="both"/>
        <w:rPr>
          <w:lang w:val="sk-SK"/>
        </w:rPr>
      </w:pPr>
      <w:r w:rsidRPr="009764C0">
        <w:rPr>
          <w:lang w:val="sk-SK"/>
        </w:rPr>
        <w:t xml:space="preserve">V oblasti školstva je strategickou prioritou vytvoriť vzdelávacie programy vychádzajúce z Rámca zručností pre riadenie kariéry pre kontinuálne vzdelávanie pedagogických a odborných zamestnancov, ako aj </w:t>
      </w:r>
      <w:proofErr w:type="spellStart"/>
      <w:r>
        <w:t>úprava</w:t>
      </w:r>
      <w:proofErr w:type="spellEnd"/>
      <w:r>
        <w:t xml:space="preserve"> </w:t>
      </w:r>
      <w:proofErr w:type="spellStart"/>
      <w:r>
        <w:t>študijných</w:t>
      </w:r>
      <w:proofErr w:type="spellEnd"/>
      <w:r>
        <w:t xml:space="preserve"> </w:t>
      </w:r>
      <w:proofErr w:type="spellStart"/>
      <w:r>
        <w:t>programov</w:t>
      </w:r>
      <w:proofErr w:type="spellEnd"/>
      <w:r>
        <w:t xml:space="preserve"> </w:t>
      </w:r>
      <w:proofErr w:type="spellStart"/>
      <w:r>
        <w:t>učiteľstva</w:t>
      </w:r>
      <w:proofErr w:type="spellEnd"/>
      <w:r>
        <w:t xml:space="preserve"> v </w:t>
      </w:r>
      <w:proofErr w:type="spellStart"/>
      <w:r>
        <w:t>pregraduálnom</w:t>
      </w:r>
      <w:proofErr w:type="spellEnd"/>
      <w:r>
        <w:t xml:space="preserve"> </w:t>
      </w:r>
      <w:proofErr w:type="spellStart"/>
      <w:r>
        <w:t>štúdiu</w:t>
      </w:r>
      <w:proofErr w:type="spellEnd"/>
      <w:r w:rsidRPr="009764C0">
        <w:rPr>
          <w:rFonts w:eastAsia="Times New Roman" w:cstheme="minorHAnsi"/>
          <w:lang w:val="sk-SK" w:eastAsia="sk-SK"/>
        </w:rPr>
        <w:t xml:space="preserve"> V oblasti poradenstva pre dospelýc</w:t>
      </w:r>
      <w:r>
        <w:rPr>
          <w:rFonts w:eastAsia="Times New Roman" w:cstheme="minorHAnsi"/>
          <w:lang w:val="sk-SK" w:eastAsia="sk-SK"/>
        </w:rPr>
        <w:t xml:space="preserve">h je prioritou zavedenie vhodnej formy akreditácie kariérových poradcov – napr. formou </w:t>
      </w:r>
      <w:r w:rsidRPr="00B84CF7">
        <w:rPr>
          <w:rFonts w:eastAsia="Times New Roman" w:cstheme="minorHAnsi"/>
          <w:b/>
          <w:lang w:val="sk-SK" w:eastAsia="sk-SK"/>
        </w:rPr>
        <w:t>uznávania výsledkov neformálneho a </w:t>
      </w:r>
      <w:proofErr w:type="spellStart"/>
      <w:r w:rsidRPr="00B84CF7">
        <w:rPr>
          <w:rFonts w:eastAsia="Times New Roman" w:cstheme="minorHAnsi"/>
          <w:b/>
          <w:lang w:val="sk-SK" w:eastAsia="sk-SK"/>
        </w:rPr>
        <w:t>informálneho</w:t>
      </w:r>
      <w:proofErr w:type="spellEnd"/>
      <w:r w:rsidRPr="00B84CF7">
        <w:rPr>
          <w:rFonts w:eastAsia="Times New Roman" w:cstheme="minorHAnsi"/>
          <w:b/>
          <w:lang w:val="sk-SK" w:eastAsia="sk-SK"/>
        </w:rPr>
        <w:t xml:space="preserve"> vzdelávania</w:t>
      </w:r>
      <w:r>
        <w:rPr>
          <w:rFonts w:eastAsia="Times New Roman" w:cstheme="minorHAnsi"/>
          <w:lang w:val="sk-SK" w:eastAsia="sk-SK"/>
        </w:rPr>
        <w:t xml:space="preserve"> prostredníctvom národnej sústavy kvalifikácií (pozri kapitolu 2.3).</w:t>
      </w:r>
    </w:p>
    <w:p w14:paraId="0CADAA7B" w14:textId="77777777" w:rsidR="00B4456D" w:rsidRDefault="00B4456D">
      <w:pPr>
        <w:rPr>
          <w:lang w:val="sk-SK"/>
        </w:rPr>
      </w:pPr>
      <w:r>
        <w:rPr>
          <w:lang w:val="sk-SK"/>
        </w:rPr>
        <w:br w:type="page"/>
      </w:r>
    </w:p>
    <w:p w14:paraId="0CADAA7C" w14:textId="77777777" w:rsidR="00B4456D" w:rsidRDefault="00B4456D" w:rsidP="00B4456D">
      <w:pPr>
        <w:pStyle w:val="Heading3"/>
        <w:rPr>
          <w:lang w:val="sk-SK"/>
        </w:rPr>
      </w:pPr>
      <w:r>
        <w:rPr>
          <w:lang w:val="sk-SK"/>
        </w:rPr>
        <w:lastRenderedPageBreak/>
        <w:t>PRIORITA</w:t>
      </w:r>
      <w:r w:rsidRPr="001762A8">
        <w:rPr>
          <w:lang w:val="sk-SK"/>
        </w:rPr>
        <w:t xml:space="preserve"> </w:t>
      </w:r>
      <w:r>
        <w:rPr>
          <w:lang w:val="sk-SK"/>
        </w:rPr>
        <w:t>3</w:t>
      </w:r>
      <w:r w:rsidRPr="001762A8">
        <w:rPr>
          <w:lang w:val="sk-SK"/>
        </w:rPr>
        <w:t xml:space="preserve">: </w:t>
      </w:r>
      <w:r>
        <w:rPr>
          <w:lang w:val="sk-SK"/>
        </w:rPr>
        <w:t>ZABEZPEČIŤ SYSTÉMOVÉ RIADENIE A</w:t>
      </w:r>
      <w:r w:rsidR="00892397">
        <w:rPr>
          <w:lang w:val="sk-SK"/>
        </w:rPr>
        <w:t> </w:t>
      </w:r>
      <w:r>
        <w:rPr>
          <w:lang w:val="sk-SK"/>
        </w:rPr>
        <w:t>KOORDINÁCIU</w:t>
      </w:r>
    </w:p>
    <w:p w14:paraId="0CADAA7D" w14:textId="77777777" w:rsidR="00892397" w:rsidRPr="00892397" w:rsidRDefault="00892397" w:rsidP="00892397">
      <w:pPr>
        <w:rPr>
          <w:lang w:val="sk-SK"/>
        </w:rPr>
      </w:pPr>
    </w:p>
    <w:p w14:paraId="0CADAA7E" w14:textId="77777777" w:rsidR="003F5FDA" w:rsidRPr="00B741A7" w:rsidRDefault="003F5FDA" w:rsidP="003F5FDA">
      <w:pPr>
        <w:pStyle w:val="Heading4"/>
        <w:rPr>
          <w:lang w:val="sk-SK"/>
        </w:rPr>
      </w:pPr>
      <w:r>
        <w:rPr>
          <w:lang w:val="sk-SK"/>
        </w:rPr>
        <w:t xml:space="preserve">3.1 </w:t>
      </w:r>
      <w:r w:rsidRPr="003F5FDA">
        <w:rPr>
          <w:lang w:val="sk-SK"/>
        </w:rPr>
        <w:t>Strategické vedenie: kooperácia a koordinácia</w:t>
      </w:r>
    </w:p>
    <w:p w14:paraId="0CADAA7F" w14:textId="6F1A9D51" w:rsidR="005C5CB1" w:rsidRPr="007774E0" w:rsidRDefault="00A82D6D" w:rsidP="007774E0">
      <w:pPr>
        <w:jc w:val="both"/>
        <w:rPr>
          <w:lang w:val="sk-SK"/>
        </w:rPr>
      </w:pPr>
      <w:r w:rsidRPr="00A82D6D">
        <w:rPr>
          <w:lang w:val="sk-SK"/>
        </w:rPr>
        <w:t xml:space="preserve">Táto priorita znamená </w:t>
      </w:r>
      <w:r w:rsidR="005C5CB1" w:rsidRPr="007774E0">
        <w:rPr>
          <w:lang w:val="sk-SK"/>
        </w:rPr>
        <w:t>jasné rozdelenie zodpovedností medzi jednotlivé rezorty, orgány centrálnej a regionálnej štátnej správy (V</w:t>
      </w:r>
      <w:r w:rsidR="008035D5">
        <w:rPr>
          <w:lang w:val="sk-SK"/>
        </w:rPr>
        <w:t>Ú</w:t>
      </w:r>
      <w:r w:rsidR="005C5CB1" w:rsidRPr="007774E0">
        <w:rPr>
          <w:lang w:val="sk-SK"/>
        </w:rPr>
        <w:t>C) a iných aktérov. Zahŕňa to tiež spoločnú koordináciu a plánovanie, zdieľanie informácií o metódach, prístupoch a klientoch, zapájanie odbornej verejnosti a pod. Spolupráca umožňuje rozvoj systému, ktorého jednotlivé zložky budú medzi sebou kompatibilné a  pre občana zrozumiteľné počas celého života.</w:t>
      </w:r>
      <w:r w:rsidR="007774E0" w:rsidRPr="007774E0">
        <w:rPr>
          <w:lang w:val="sk-SK"/>
        </w:rPr>
        <w:t xml:space="preserve"> </w:t>
      </w:r>
      <w:r w:rsidR="005C5CB1" w:rsidRPr="007774E0">
        <w:rPr>
          <w:lang w:val="sk-SK"/>
        </w:rPr>
        <w:t xml:space="preserve">Koordinácia a spolupráca vedie k vzájomnej inšpirácii, výmene informácií a k zvyšovaniu kvality kariérového poradenstva vo všetkých sektoroch. </w:t>
      </w:r>
      <w:r w:rsidR="008035D5">
        <w:rPr>
          <w:lang w:val="sk-SK"/>
        </w:rPr>
        <w:t>N</w:t>
      </w:r>
      <w:r w:rsidR="005C5CB1" w:rsidRPr="007774E0">
        <w:rPr>
          <w:lang w:val="sk-SK"/>
        </w:rPr>
        <w:t>edostatok spolupráce a koordinácie vedie k rozdrobenosti, diskontinuite a často aj k plytvaniu zdrojov.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5C5CB1" w:rsidRPr="00432080" w14:paraId="0CADAA81" w14:textId="77777777" w:rsidTr="00B4417B">
        <w:tc>
          <w:tcPr>
            <w:tcW w:w="9500" w:type="dxa"/>
            <w:shd w:val="clear" w:color="auto" w:fill="D9E2F3" w:themeFill="accent1" w:themeFillTint="33"/>
          </w:tcPr>
          <w:p w14:paraId="0CADAA80" w14:textId="77777777" w:rsidR="005C5CB1" w:rsidRPr="008B55D1" w:rsidRDefault="005C5CB1" w:rsidP="00B4417B">
            <w:r w:rsidRPr="007C05BB">
              <w:rPr>
                <w:b/>
              </w:rPr>
              <w:t>Slovenská dobrá prax</w:t>
            </w:r>
            <w:r>
              <w:rPr>
                <w:b/>
              </w:rPr>
              <w:t>: Národná cena kariérového poradenstva</w:t>
            </w:r>
          </w:p>
        </w:tc>
      </w:tr>
      <w:tr w:rsidR="005C5CB1" w:rsidRPr="00432080" w14:paraId="0CADAA83" w14:textId="77777777" w:rsidTr="00B4417B">
        <w:tc>
          <w:tcPr>
            <w:tcW w:w="9500" w:type="dxa"/>
            <w:shd w:val="clear" w:color="auto" w:fill="D9E2F3" w:themeFill="accent1" w:themeFillTint="33"/>
          </w:tcPr>
          <w:p w14:paraId="0CADAA82" w14:textId="5B2490B3" w:rsidR="005C5CB1" w:rsidRPr="008B55D1" w:rsidRDefault="005C5CB1" w:rsidP="008035D5">
            <w:pPr>
              <w:jc w:val="both"/>
            </w:pPr>
            <w:r>
              <w:t>Spolupráca v rôznych sektoroch prebieha najmä na úrovni poskytovateľov kariérového poradenstva. Na Slovensku je jej iniciátorom najmä centrum Euroguidance, ktoré od roku 200</w:t>
            </w:r>
            <w:r w:rsidR="008035D5">
              <w:t>9</w:t>
            </w:r>
            <w:r>
              <w:t xml:space="preserve"> organizuje súťaž Národná cena kariérového poradenstva. Jej cieľom je podporovať inovatívnu prax a prenos know-how medzi rôznymi sektormi a za 10 rokov existencie podnietilo medzisektorový prenos mnohých príkladov dobrej praxe.</w:t>
            </w:r>
          </w:p>
        </w:tc>
      </w:tr>
      <w:tr w:rsidR="005C5CB1" w:rsidRPr="00F81940" w14:paraId="0CADAA86" w14:textId="77777777" w:rsidTr="00B4417B">
        <w:tc>
          <w:tcPr>
            <w:tcW w:w="9500" w:type="dxa"/>
            <w:shd w:val="clear" w:color="auto" w:fill="D9E2F3" w:themeFill="accent1" w:themeFillTint="33"/>
          </w:tcPr>
          <w:p w14:paraId="0CADAA84" w14:textId="77777777" w:rsidR="005C5CB1" w:rsidRDefault="005C5CB1" w:rsidP="00B4417B">
            <w:pPr>
              <w:jc w:val="both"/>
              <w:rPr>
                <w:i/>
              </w:rPr>
            </w:pPr>
          </w:p>
          <w:p w14:paraId="0CADAA85" w14:textId="77777777" w:rsidR="005C5CB1" w:rsidRDefault="005C5CB1" w:rsidP="00B4417B">
            <w:r>
              <w:rPr>
                <w:i/>
              </w:rPr>
              <w:t>Čo s tým ďalej?</w:t>
            </w:r>
          </w:p>
        </w:tc>
      </w:tr>
      <w:tr w:rsidR="005C5CB1" w:rsidRPr="00432080" w14:paraId="0CADAA88" w14:textId="77777777" w:rsidTr="00B4417B">
        <w:tc>
          <w:tcPr>
            <w:tcW w:w="9500" w:type="dxa"/>
            <w:shd w:val="clear" w:color="auto" w:fill="D9E2F3" w:themeFill="accent1" w:themeFillTint="33"/>
          </w:tcPr>
          <w:p w14:paraId="0CADAA87" w14:textId="77777777" w:rsidR="005C5CB1" w:rsidRPr="00953020" w:rsidRDefault="005C5CB1" w:rsidP="00B4417B">
            <w:pPr>
              <w:jc w:val="both"/>
            </w:pPr>
            <w:r>
              <w:t>Spolupráca na úrovni praktikov je dôležitá, ale nenahrádza reálnu a praktickú koordináciu tvorcov politík (najmä rezortu školstva a práce). Ako vhodný koordinačný orgán sa vo viacerých krajinách osvedčilo Národné poradenské fórum.</w:t>
            </w:r>
          </w:p>
        </w:tc>
      </w:tr>
    </w:tbl>
    <w:p w14:paraId="30053C3A" w14:textId="49FFE62F" w:rsidR="00261727" w:rsidRDefault="00AA0471" w:rsidP="009E5D88">
      <w:pPr>
        <w:spacing w:before="120"/>
        <w:jc w:val="both"/>
        <w:rPr>
          <w:lang w:val="sk-SK"/>
        </w:rPr>
      </w:pPr>
      <w:r>
        <w:rPr>
          <w:lang w:val="sk-SK"/>
        </w:rPr>
        <w:t xml:space="preserve">Strategickou prioritou v tejto oblasti je </w:t>
      </w:r>
      <w:r w:rsidRPr="00AA0471">
        <w:rPr>
          <w:b/>
          <w:lang w:val="sk-SK"/>
        </w:rPr>
        <w:t xml:space="preserve">obnovenie </w:t>
      </w:r>
      <w:r w:rsidR="00A82D6D">
        <w:rPr>
          <w:b/>
          <w:lang w:val="sk-SK"/>
        </w:rPr>
        <w:t>funkčnosti</w:t>
      </w:r>
      <w:r w:rsidRPr="00AA0471">
        <w:rPr>
          <w:b/>
          <w:lang w:val="sk-SK"/>
        </w:rPr>
        <w:t xml:space="preserve"> Národného fóra</w:t>
      </w:r>
      <w:r w:rsidR="00AF5144">
        <w:rPr>
          <w:b/>
          <w:lang w:val="sk-SK"/>
        </w:rPr>
        <w:t xml:space="preserve"> pre celoživotné poradenstvo</w:t>
      </w:r>
      <w:r>
        <w:rPr>
          <w:b/>
          <w:lang w:val="sk-SK"/>
        </w:rPr>
        <w:t xml:space="preserve">, </w:t>
      </w:r>
      <w:r w:rsidRPr="00AA0471">
        <w:rPr>
          <w:lang w:val="sk-SK"/>
        </w:rPr>
        <w:t>v</w:t>
      </w:r>
      <w:r>
        <w:rPr>
          <w:lang w:val="sk-SK"/>
        </w:rPr>
        <w:t> </w:t>
      </w:r>
      <w:r w:rsidRPr="00AA0471">
        <w:rPr>
          <w:lang w:val="sk-SK"/>
        </w:rPr>
        <w:t>ktorom</w:t>
      </w:r>
      <w:r>
        <w:rPr>
          <w:lang w:val="sk-SK"/>
        </w:rPr>
        <w:t xml:space="preserve"> budú reprezentované záujmy všetkých relevantných aktérov</w:t>
      </w:r>
      <w:r w:rsidR="00A61224">
        <w:rPr>
          <w:lang w:val="sk-SK"/>
        </w:rPr>
        <w:t xml:space="preserve"> – najmä </w:t>
      </w:r>
      <w:r w:rsidR="00A61224" w:rsidRPr="00A61224">
        <w:rPr>
          <w:lang w:val="sk-SK"/>
        </w:rPr>
        <w:t xml:space="preserve">MŠVVaŠ </w:t>
      </w:r>
      <w:r w:rsidR="00A61224">
        <w:rPr>
          <w:lang w:val="sk-SK"/>
        </w:rPr>
        <w:t>a MPSVR</w:t>
      </w:r>
      <w:r>
        <w:rPr>
          <w:lang w:val="sk-SK"/>
        </w:rPr>
        <w:t>.</w:t>
      </w:r>
      <w:r w:rsidR="00A61224">
        <w:rPr>
          <w:lang w:val="sk-SK"/>
        </w:rPr>
        <w:t xml:space="preserve"> Sekretariát a chod Národného poradenského fóra môže byť zverený profesijným organizáciám, alebo striedavo zabezpečovaný </w:t>
      </w:r>
      <w:r w:rsidR="00F31B6A">
        <w:rPr>
          <w:lang w:val="sk-SK"/>
        </w:rPr>
        <w:t>ministerstvami</w:t>
      </w:r>
      <w:r w:rsidR="00404BAC">
        <w:rPr>
          <w:lang w:val="sk-SK"/>
        </w:rPr>
        <w:t xml:space="preserve">. </w:t>
      </w:r>
      <w:r w:rsidR="00C2048D">
        <w:rPr>
          <w:lang w:val="sk-SK"/>
        </w:rPr>
        <w:t xml:space="preserve">Národné fórum </w:t>
      </w:r>
      <w:r w:rsidR="00261727">
        <w:rPr>
          <w:lang w:val="sk-SK"/>
        </w:rPr>
        <w:t>bude plniť nasledovné funkcie</w:t>
      </w:r>
      <w:r w:rsidR="009B35EA">
        <w:rPr>
          <w:rStyle w:val="FootnoteReference"/>
          <w:lang w:val="sk-SK"/>
        </w:rPr>
        <w:footnoteReference w:id="24"/>
      </w:r>
      <w:r w:rsidR="00261727">
        <w:rPr>
          <w:lang w:val="sk-SK"/>
        </w:rPr>
        <w:t>:</w:t>
      </w:r>
    </w:p>
    <w:p w14:paraId="3462F8E6" w14:textId="64114ADF" w:rsidR="00261727" w:rsidRDefault="00261727" w:rsidP="00261727">
      <w:pPr>
        <w:pStyle w:val="ListParagraph"/>
        <w:numPr>
          <w:ilvl w:val="0"/>
          <w:numId w:val="18"/>
        </w:numPr>
        <w:spacing w:before="120"/>
        <w:jc w:val="both"/>
        <w:rPr>
          <w:lang w:val="sk-SK"/>
        </w:rPr>
      </w:pPr>
      <w:r>
        <w:rPr>
          <w:lang w:val="sk-SK"/>
        </w:rPr>
        <w:t>zlepšovanie komunikácie</w:t>
      </w:r>
      <w:r w:rsidR="00B17160">
        <w:rPr>
          <w:lang w:val="sk-SK"/>
        </w:rPr>
        <w:t xml:space="preserve"> (</w:t>
      </w:r>
      <w:r w:rsidR="00F97A98">
        <w:rPr>
          <w:lang w:val="sk-SK"/>
        </w:rPr>
        <w:t>priestor pre vzájomné informovanie sa jednotlivých aktérov o plánoch a prebiehajúcich aktivitách v oblasti kariérového poradenstva</w:t>
      </w:r>
      <w:r w:rsidR="005D5793">
        <w:rPr>
          <w:lang w:val="sk-SK"/>
        </w:rPr>
        <w:t>)</w:t>
      </w:r>
    </w:p>
    <w:p w14:paraId="17A35126" w14:textId="010F0F9D" w:rsidR="00A34C7D" w:rsidRDefault="00A34C7D" w:rsidP="00261727">
      <w:pPr>
        <w:pStyle w:val="ListParagraph"/>
        <w:numPr>
          <w:ilvl w:val="0"/>
          <w:numId w:val="18"/>
        </w:numPr>
        <w:spacing w:before="120"/>
        <w:jc w:val="both"/>
        <w:rPr>
          <w:lang w:val="sk-SK"/>
        </w:rPr>
      </w:pPr>
      <w:r>
        <w:rPr>
          <w:lang w:val="sk-SK"/>
        </w:rPr>
        <w:t>podpora spolupráce</w:t>
      </w:r>
      <w:r w:rsidR="005D5793">
        <w:rPr>
          <w:lang w:val="sk-SK"/>
        </w:rPr>
        <w:t xml:space="preserve"> (</w:t>
      </w:r>
      <w:r w:rsidR="008A714D">
        <w:rPr>
          <w:lang w:val="sk-SK"/>
        </w:rPr>
        <w:t xml:space="preserve">napr. </w:t>
      </w:r>
      <w:r w:rsidR="005D5793">
        <w:rPr>
          <w:lang w:val="sk-SK"/>
        </w:rPr>
        <w:t xml:space="preserve">vzájomné ovplyvňovanie sa jednotlivých aktérov </w:t>
      </w:r>
      <w:r w:rsidR="008A714D">
        <w:rPr>
          <w:lang w:val="sk-SK"/>
        </w:rPr>
        <w:t>v záujme zvyšovania koherentnosti systému</w:t>
      </w:r>
      <w:r w:rsidR="00785971">
        <w:rPr>
          <w:lang w:val="sk-SK"/>
        </w:rPr>
        <w:t xml:space="preserve"> napr. pri príprave nových národných projektov alebo príprave vzdelávacích programov pre poradcov atď.</w:t>
      </w:r>
      <w:r w:rsidR="008A714D">
        <w:rPr>
          <w:lang w:val="sk-SK"/>
        </w:rPr>
        <w:t>)</w:t>
      </w:r>
    </w:p>
    <w:p w14:paraId="2390D022" w14:textId="55C408A2" w:rsidR="00A34C7D" w:rsidRDefault="00A34C7D" w:rsidP="00261727">
      <w:pPr>
        <w:pStyle w:val="ListParagraph"/>
        <w:numPr>
          <w:ilvl w:val="0"/>
          <w:numId w:val="18"/>
        </w:numPr>
        <w:spacing w:before="120"/>
        <w:jc w:val="both"/>
        <w:rPr>
          <w:lang w:val="sk-SK"/>
        </w:rPr>
      </w:pPr>
      <w:r>
        <w:rPr>
          <w:lang w:val="sk-SK"/>
        </w:rPr>
        <w:t>identifikácia potrieb občanov</w:t>
      </w:r>
      <w:r w:rsidR="004305CF">
        <w:rPr>
          <w:lang w:val="sk-SK"/>
        </w:rPr>
        <w:t xml:space="preserve"> (napr. </w:t>
      </w:r>
      <w:r w:rsidR="00E427D7">
        <w:rPr>
          <w:lang w:val="sk-SK"/>
        </w:rPr>
        <w:t>mapovanie existujúcich služieb a identifikovanie medzier v systéme,</w:t>
      </w:r>
      <w:r w:rsidR="00C95844">
        <w:rPr>
          <w:lang w:val="sk-SK"/>
        </w:rPr>
        <w:t xml:space="preserve"> definovanie potrebných zručností pre riadenie vlastnej kariéry, </w:t>
      </w:r>
      <w:r w:rsidR="00957871">
        <w:rPr>
          <w:lang w:val="sk-SK"/>
        </w:rPr>
        <w:t>realizácia prieskumov potrieb občanov a pod.)</w:t>
      </w:r>
    </w:p>
    <w:p w14:paraId="365A058E" w14:textId="7C832213" w:rsidR="00A34C7D" w:rsidRDefault="00A34C7D" w:rsidP="00261727">
      <w:pPr>
        <w:pStyle w:val="ListParagraph"/>
        <w:numPr>
          <w:ilvl w:val="0"/>
          <w:numId w:val="18"/>
        </w:numPr>
        <w:spacing w:before="120"/>
        <w:jc w:val="both"/>
        <w:rPr>
          <w:lang w:val="sk-SK"/>
        </w:rPr>
      </w:pPr>
      <w:r>
        <w:rPr>
          <w:lang w:val="sk-SK"/>
        </w:rPr>
        <w:t>zlepšovanie kvality služby</w:t>
      </w:r>
      <w:r w:rsidR="00957871">
        <w:rPr>
          <w:lang w:val="sk-SK"/>
        </w:rPr>
        <w:t xml:space="preserve"> (tvorba štandardu kvality a systému implementácie a riadenia kvality</w:t>
      </w:r>
      <w:r w:rsidR="00B06F3C">
        <w:rPr>
          <w:lang w:val="sk-SK"/>
        </w:rPr>
        <w:t>, tvorba kvalifikačných štandardov</w:t>
      </w:r>
      <w:r w:rsidR="00957871">
        <w:rPr>
          <w:lang w:val="sk-SK"/>
        </w:rPr>
        <w:t>)</w:t>
      </w:r>
    </w:p>
    <w:p w14:paraId="12B41DC8" w14:textId="5FE390CA" w:rsidR="00B17160" w:rsidRDefault="00B17160" w:rsidP="00261727">
      <w:pPr>
        <w:pStyle w:val="ListParagraph"/>
        <w:numPr>
          <w:ilvl w:val="0"/>
          <w:numId w:val="18"/>
        </w:numPr>
        <w:spacing w:before="120"/>
        <w:jc w:val="both"/>
        <w:rPr>
          <w:lang w:val="sk-SK"/>
        </w:rPr>
      </w:pPr>
      <w:r>
        <w:rPr>
          <w:lang w:val="sk-SK"/>
        </w:rPr>
        <w:t>ovplyvňovanie politík</w:t>
      </w:r>
      <w:r w:rsidR="00B06F3C">
        <w:rPr>
          <w:lang w:val="sk-SK"/>
        </w:rPr>
        <w:t xml:space="preserve"> (</w:t>
      </w:r>
      <w:r w:rsidR="00567F19">
        <w:rPr>
          <w:lang w:val="sk-SK"/>
        </w:rPr>
        <w:t>napr. implementácia stratégi</w:t>
      </w:r>
      <w:r w:rsidR="005B5DED">
        <w:rPr>
          <w:lang w:val="sk-SK"/>
        </w:rPr>
        <w:t>e v oblasti celoživotného kariérového poradenstva</w:t>
      </w:r>
      <w:r w:rsidR="00A109AA">
        <w:rPr>
          <w:lang w:val="sk-SK"/>
        </w:rPr>
        <w:t>, vypracovanie spoločnej definície a terminológie kariérového poradenstva</w:t>
      </w:r>
      <w:r w:rsidR="005B5DED">
        <w:rPr>
          <w:lang w:val="sk-SK"/>
        </w:rPr>
        <w:t>)</w:t>
      </w:r>
    </w:p>
    <w:p w14:paraId="3786B27D" w14:textId="0D1EB25C" w:rsidR="00B17160" w:rsidRPr="00261727" w:rsidRDefault="00B17160" w:rsidP="00261727">
      <w:pPr>
        <w:pStyle w:val="ListParagraph"/>
        <w:numPr>
          <w:ilvl w:val="0"/>
          <w:numId w:val="18"/>
        </w:numPr>
        <w:spacing w:before="120"/>
        <w:jc w:val="both"/>
        <w:rPr>
          <w:lang w:val="sk-SK"/>
        </w:rPr>
      </w:pPr>
      <w:r>
        <w:rPr>
          <w:lang w:val="sk-SK"/>
        </w:rPr>
        <w:t>participácia na medzinárodnom dialógu</w:t>
      </w:r>
      <w:r w:rsidR="005B5DED">
        <w:rPr>
          <w:lang w:val="sk-SK"/>
        </w:rPr>
        <w:t xml:space="preserve"> (</w:t>
      </w:r>
      <w:r w:rsidR="009F1D56">
        <w:rPr>
          <w:lang w:val="sk-SK"/>
        </w:rPr>
        <w:t xml:space="preserve">zdieľanie skúseností </w:t>
      </w:r>
      <w:r w:rsidR="005B5DED">
        <w:rPr>
          <w:lang w:val="sk-SK"/>
        </w:rPr>
        <w:t xml:space="preserve">v európskych sieťach, napr. </w:t>
      </w:r>
      <w:proofErr w:type="spellStart"/>
      <w:r w:rsidR="005B5DED">
        <w:rPr>
          <w:lang w:val="sk-SK"/>
        </w:rPr>
        <w:t>CareersNET</w:t>
      </w:r>
      <w:proofErr w:type="spellEnd"/>
      <w:r w:rsidR="005B5DED">
        <w:rPr>
          <w:lang w:val="sk-SK"/>
        </w:rPr>
        <w:t>, ELGPN</w:t>
      </w:r>
      <w:r w:rsidR="009F1D56">
        <w:rPr>
          <w:lang w:val="sk-SK"/>
        </w:rPr>
        <w:t xml:space="preserve"> a ďalšie).</w:t>
      </w:r>
    </w:p>
    <w:p w14:paraId="0CADAA89" w14:textId="6EE7AED5" w:rsidR="00E563F8" w:rsidRPr="008B55D1" w:rsidRDefault="00F31B6A" w:rsidP="009E5D88">
      <w:pPr>
        <w:spacing w:before="120"/>
        <w:jc w:val="both"/>
        <w:rPr>
          <w:lang w:val="sk-SK"/>
        </w:rPr>
      </w:pPr>
      <w:r>
        <w:rPr>
          <w:lang w:val="sk-SK"/>
        </w:rPr>
        <w:lastRenderedPageBreak/>
        <w:t>Národné poradenské fór</w:t>
      </w:r>
      <w:r w:rsidR="009E5D88">
        <w:rPr>
          <w:lang w:val="sk-SK"/>
        </w:rPr>
        <w:t>um sa môže podieľať na realizácii niektorých úloh</w:t>
      </w:r>
      <w:r>
        <w:rPr>
          <w:lang w:val="sk-SK"/>
        </w:rPr>
        <w:t xml:space="preserve"> </w:t>
      </w:r>
      <w:r w:rsidR="009E5D88">
        <w:rPr>
          <w:lang w:val="sk-SK"/>
        </w:rPr>
        <w:t xml:space="preserve">vyplývajúcich z tejto stratégie </w:t>
      </w:r>
      <w:r>
        <w:rPr>
          <w:lang w:val="sk-SK"/>
        </w:rPr>
        <w:t>(</w:t>
      </w:r>
      <w:r w:rsidR="007D0671">
        <w:rPr>
          <w:lang w:val="sk-SK"/>
        </w:rPr>
        <w:t>napr. 2.1 Vytvorenie národného rámca zručností pre riadenie vlastnej kariéry)</w:t>
      </w:r>
      <w:r w:rsidR="000C3662">
        <w:rPr>
          <w:lang w:val="sk-SK"/>
        </w:rPr>
        <w:t xml:space="preserve"> a monitorovať implementáciu súčasnej stratégie.</w:t>
      </w:r>
      <w:r w:rsidR="00EA485C">
        <w:rPr>
          <w:lang w:val="sk-SK"/>
        </w:rPr>
        <w:t xml:space="preserve"> </w:t>
      </w:r>
      <w:r w:rsidR="008D3BEA">
        <w:rPr>
          <w:lang w:val="sk-SK"/>
        </w:rPr>
        <w:t>S</w:t>
      </w:r>
      <w:r w:rsidR="00EA485C">
        <w:rPr>
          <w:lang w:val="sk-SK"/>
        </w:rPr>
        <w:t xml:space="preserve">účasný </w:t>
      </w:r>
      <w:r w:rsidR="00B11578">
        <w:rPr>
          <w:lang w:val="sk-SK"/>
        </w:rPr>
        <w:t>Štatút Národného fóra</w:t>
      </w:r>
      <w:r w:rsidR="008D3BEA">
        <w:rPr>
          <w:lang w:val="sk-SK"/>
        </w:rPr>
        <w:t xml:space="preserve"> pre celoživotné poradenstvo</w:t>
      </w:r>
      <w:r w:rsidR="004534EE">
        <w:rPr>
          <w:rStyle w:val="FootnoteReference"/>
          <w:lang w:val="sk-SK"/>
        </w:rPr>
        <w:footnoteReference w:id="25"/>
      </w:r>
      <w:r w:rsidR="008D3BEA">
        <w:rPr>
          <w:lang w:val="sk-SK"/>
        </w:rPr>
        <w:t xml:space="preserve"> je potrebné aktualizovať </w:t>
      </w:r>
      <w:r w:rsidR="00DF389F">
        <w:rPr>
          <w:lang w:val="sk-SK"/>
        </w:rPr>
        <w:t xml:space="preserve">najmä z hľadiska </w:t>
      </w:r>
      <w:r w:rsidR="008D3BEA">
        <w:rPr>
          <w:lang w:val="sk-SK"/>
        </w:rPr>
        <w:t>oblast</w:t>
      </w:r>
      <w:r w:rsidR="00DF389F">
        <w:rPr>
          <w:lang w:val="sk-SK"/>
        </w:rPr>
        <w:t>í</w:t>
      </w:r>
      <w:r w:rsidR="003A22B3">
        <w:rPr>
          <w:lang w:val="sk-SK"/>
        </w:rPr>
        <w:t xml:space="preserve"> pôsobnosti</w:t>
      </w:r>
      <w:r w:rsidR="00DF389F">
        <w:rPr>
          <w:lang w:val="sk-SK"/>
        </w:rPr>
        <w:t xml:space="preserve"> (zdôrazniť konzultačnú a komunikačnú funkciu)</w:t>
      </w:r>
      <w:r w:rsidR="00782672">
        <w:rPr>
          <w:lang w:val="sk-SK"/>
        </w:rPr>
        <w:t xml:space="preserve"> a</w:t>
      </w:r>
      <w:r w:rsidR="008D3BEA">
        <w:rPr>
          <w:lang w:val="sk-SK"/>
        </w:rPr>
        <w:t xml:space="preserve"> členov</w:t>
      </w:r>
      <w:r w:rsidR="00DF389F">
        <w:rPr>
          <w:lang w:val="sk-SK"/>
        </w:rPr>
        <w:t xml:space="preserve"> </w:t>
      </w:r>
      <w:r w:rsidR="00F113BA">
        <w:rPr>
          <w:lang w:val="sk-SK"/>
        </w:rPr>
        <w:t xml:space="preserve">(rozšírenie členstva na profesijné združenia a aktualizácia </w:t>
      </w:r>
      <w:r w:rsidR="00B13CA3">
        <w:rPr>
          <w:lang w:val="sk-SK"/>
        </w:rPr>
        <w:t>priamo riadených organizácií MŠVVaŠ SR</w:t>
      </w:r>
      <w:r w:rsidR="00DF389F">
        <w:rPr>
          <w:lang w:val="sk-SK"/>
        </w:rPr>
        <w:t>)</w:t>
      </w:r>
      <w:r w:rsidR="00D96B97">
        <w:rPr>
          <w:lang w:val="sk-SK"/>
        </w:rPr>
        <w:t>.</w:t>
      </w:r>
      <w:r w:rsidR="006D3386">
        <w:rPr>
          <w:lang w:val="sk-SK"/>
        </w:rPr>
        <w:t xml:space="preserve"> Okrem potreby zaistenia nestrannosti a </w:t>
      </w:r>
      <w:proofErr w:type="spellStart"/>
      <w:r w:rsidR="006D3386">
        <w:rPr>
          <w:lang w:val="sk-SK"/>
        </w:rPr>
        <w:t>participatívneho</w:t>
      </w:r>
      <w:proofErr w:type="spellEnd"/>
      <w:r w:rsidR="006D3386">
        <w:rPr>
          <w:lang w:val="sk-SK"/>
        </w:rPr>
        <w:t xml:space="preserve"> fungovania </w:t>
      </w:r>
      <w:r w:rsidR="00451C78">
        <w:rPr>
          <w:lang w:val="sk-SK"/>
        </w:rPr>
        <w:t>Národného f</w:t>
      </w:r>
      <w:r w:rsidR="006D3386">
        <w:rPr>
          <w:lang w:val="sk-SK"/>
        </w:rPr>
        <w:t xml:space="preserve">óra je dôležité zamerať jeho činnosť najmä na posilňovanie kontaktov a spolupráce </w:t>
      </w:r>
      <w:r w:rsidR="00C519FE">
        <w:rPr>
          <w:lang w:val="sk-SK"/>
        </w:rPr>
        <w:t xml:space="preserve"> </w:t>
      </w:r>
      <w:r w:rsidR="006D3386">
        <w:rPr>
          <w:lang w:val="sk-SK"/>
        </w:rPr>
        <w:t>na úrovni metodických pracovníkov jednotlivých zapojených ministerstiev</w:t>
      </w:r>
      <w:r w:rsidR="00FA6729">
        <w:rPr>
          <w:lang w:val="sk-SK"/>
        </w:rPr>
        <w:t xml:space="preserve"> napríklad vo forme pracovných skupín</w:t>
      </w:r>
      <w:r w:rsidR="006E33F4">
        <w:rPr>
          <w:lang w:val="sk-SK"/>
        </w:rPr>
        <w:t xml:space="preserve"> s konkrétnymi zadaniami</w:t>
      </w:r>
      <w:r w:rsidR="00FA6729">
        <w:rPr>
          <w:lang w:val="sk-SK"/>
        </w:rPr>
        <w:t xml:space="preserve">. Súčasná slovenská skúsenosť ukazuje, že takáto spolupráca má </w:t>
      </w:r>
      <w:r w:rsidR="00BD7E3D">
        <w:rPr>
          <w:lang w:val="sk-SK"/>
        </w:rPr>
        <w:t xml:space="preserve">v rovine </w:t>
      </w:r>
      <w:r w:rsidR="00C519FE">
        <w:rPr>
          <w:lang w:val="sk-SK"/>
        </w:rPr>
        <w:t>implementáci</w:t>
      </w:r>
      <w:r w:rsidR="00BD7E3D">
        <w:rPr>
          <w:lang w:val="sk-SK"/>
        </w:rPr>
        <w:t>e</w:t>
      </w:r>
      <w:r w:rsidR="00C519FE">
        <w:rPr>
          <w:lang w:val="sk-SK"/>
        </w:rPr>
        <w:t xml:space="preserve"> politík väčší dopad ako </w:t>
      </w:r>
      <w:r w:rsidR="00341D44">
        <w:rPr>
          <w:lang w:val="sk-SK"/>
        </w:rPr>
        <w:t xml:space="preserve">fungovanie </w:t>
      </w:r>
      <w:r w:rsidR="00451C78">
        <w:rPr>
          <w:lang w:val="sk-SK"/>
        </w:rPr>
        <w:t>Národného f</w:t>
      </w:r>
      <w:r w:rsidR="00341D44">
        <w:rPr>
          <w:lang w:val="sk-SK"/>
        </w:rPr>
        <w:t xml:space="preserve">óra pozostávajúce z prevažne </w:t>
      </w:r>
      <w:r w:rsidR="00C519FE">
        <w:rPr>
          <w:lang w:val="sk-SK"/>
        </w:rPr>
        <w:t>formáln</w:t>
      </w:r>
      <w:r w:rsidR="00341D44">
        <w:rPr>
          <w:lang w:val="sk-SK"/>
        </w:rPr>
        <w:t>ych</w:t>
      </w:r>
      <w:r w:rsidR="00C519FE">
        <w:rPr>
          <w:lang w:val="sk-SK"/>
        </w:rPr>
        <w:t xml:space="preserve"> stretnut</w:t>
      </w:r>
      <w:r w:rsidR="00341D44">
        <w:rPr>
          <w:lang w:val="sk-SK"/>
        </w:rPr>
        <w:t>í</w:t>
      </w:r>
      <w:r w:rsidR="00C519FE">
        <w:rPr>
          <w:lang w:val="sk-SK"/>
        </w:rPr>
        <w:t xml:space="preserve"> </w:t>
      </w:r>
      <w:r w:rsidR="006E33F4">
        <w:rPr>
          <w:lang w:val="sk-SK"/>
        </w:rPr>
        <w:t>vrcholových predstaviteľov rezortu.</w:t>
      </w:r>
    </w:p>
    <w:p w14:paraId="0CADAA8A" w14:textId="77777777" w:rsidR="00D04813" w:rsidRDefault="00D04813" w:rsidP="00293FC2">
      <w:pPr>
        <w:pStyle w:val="Heading4"/>
        <w:rPr>
          <w:lang w:val="sk-SK"/>
        </w:rPr>
      </w:pPr>
    </w:p>
    <w:p w14:paraId="0CADAA8B" w14:textId="77777777" w:rsidR="00293FC2" w:rsidRPr="00293FC2" w:rsidRDefault="00293FC2" w:rsidP="00293FC2">
      <w:pPr>
        <w:pStyle w:val="Heading4"/>
        <w:rPr>
          <w:lang w:val="sk-SK"/>
        </w:rPr>
      </w:pPr>
      <w:r>
        <w:rPr>
          <w:lang w:val="sk-SK"/>
        </w:rPr>
        <w:t xml:space="preserve">3.2 </w:t>
      </w:r>
      <w:r w:rsidRPr="00293FC2">
        <w:rPr>
          <w:lang w:val="sk-SK"/>
        </w:rPr>
        <w:t>Hodnotenie efektivity celoživotného poradenstva</w:t>
      </w:r>
    </w:p>
    <w:p w14:paraId="0CADAA8C" w14:textId="77777777" w:rsidR="00293FC2" w:rsidRPr="00852808" w:rsidRDefault="00293FC2" w:rsidP="00AA2310">
      <w:pPr>
        <w:jc w:val="both"/>
        <w:rPr>
          <w:lang w:val="sk-SK"/>
        </w:rPr>
      </w:pPr>
      <w:r w:rsidRPr="00852808">
        <w:rPr>
          <w:lang w:val="sk-SK"/>
        </w:rPr>
        <w:t xml:space="preserve">Hodnotenie efektivity zvyšuje „hodnotu za peniaze“ poradenskej služby: verejné peniaze sú investované do služieb, ktoré spĺňajú stanovené ciele (napr. lepšie vzdelávacie výsledky, rozvoj zamestnateľnosti, lepšie uplatnenie na trhu práce, zvýšená mobilita a pod.) </w:t>
      </w:r>
    </w:p>
    <w:p w14:paraId="0CADAA8D" w14:textId="337A1610" w:rsidR="00B741A7" w:rsidRDefault="00AA2310" w:rsidP="00AA2310">
      <w:pPr>
        <w:jc w:val="both"/>
        <w:rPr>
          <w:i/>
          <w:color w:val="FF0000"/>
          <w:lang w:val="sk-SK"/>
        </w:rPr>
      </w:pPr>
      <w:r>
        <w:rPr>
          <w:lang w:val="sk-SK"/>
        </w:rPr>
        <w:t xml:space="preserve">Strategickou prioritou je </w:t>
      </w:r>
      <w:r w:rsidRPr="00AA2310">
        <w:rPr>
          <w:b/>
          <w:lang w:val="sk-SK"/>
        </w:rPr>
        <w:t>rozvoj kultúry tvorby politík postavených na dôkazoch</w:t>
      </w:r>
      <w:r>
        <w:rPr>
          <w:lang w:val="sk-SK"/>
        </w:rPr>
        <w:t xml:space="preserve">. </w:t>
      </w:r>
      <w:r w:rsidR="00085BD8">
        <w:rPr>
          <w:lang w:val="sk-SK"/>
        </w:rPr>
        <w:t>Čiastkovými krokmi je zavedenie s</w:t>
      </w:r>
      <w:r w:rsidR="00293FC2" w:rsidRPr="00852808">
        <w:rPr>
          <w:lang w:val="sk-SK"/>
        </w:rPr>
        <w:t>ledovani</w:t>
      </w:r>
      <w:r w:rsidR="00085BD8">
        <w:rPr>
          <w:lang w:val="sk-SK"/>
        </w:rPr>
        <w:t>a</w:t>
      </w:r>
      <w:r w:rsidR="00293FC2" w:rsidRPr="00852808">
        <w:rPr>
          <w:lang w:val="sk-SK"/>
        </w:rPr>
        <w:t xml:space="preserve"> výsledkov formou </w:t>
      </w:r>
      <w:r w:rsidR="00293FC2" w:rsidRPr="00D04813">
        <w:rPr>
          <w:b/>
          <w:lang w:val="sk-SK"/>
        </w:rPr>
        <w:t>„</w:t>
      </w:r>
      <w:r w:rsidR="003E03E2">
        <w:rPr>
          <w:b/>
          <w:lang w:val="sk-SK"/>
        </w:rPr>
        <w:t>stopovania</w:t>
      </w:r>
      <w:r w:rsidR="00293FC2" w:rsidRPr="00D04813">
        <w:rPr>
          <w:b/>
          <w:lang w:val="sk-SK"/>
        </w:rPr>
        <w:t>“ klientov</w:t>
      </w:r>
      <w:r w:rsidR="00293FC2" w:rsidRPr="00852808">
        <w:rPr>
          <w:lang w:val="sk-SK"/>
        </w:rPr>
        <w:t xml:space="preserve"> (napr. dlhodobé sledovanie vzdelávacích a profesijných dráh žiakov a študentov, ktorým boli poskytnuté rôzne formy kariérového poradenstva a vzdelávania) umožňuje porovnať efektivitu rôznych poradenských prístupov.</w:t>
      </w:r>
      <w:r w:rsidR="004A5BC9">
        <w:rPr>
          <w:lang w:val="sk-SK"/>
        </w:rPr>
        <w:t xml:space="preserve"> Formy hodnotenia efektivity navrhovaného systému kariérového poradenstva </w:t>
      </w:r>
      <w:r w:rsidR="00451C78">
        <w:rPr>
          <w:lang w:val="sk-SK"/>
        </w:rPr>
        <w:t xml:space="preserve">s dopadom na financovanie služby </w:t>
      </w:r>
      <w:r w:rsidR="004A5BC9">
        <w:rPr>
          <w:lang w:val="sk-SK"/>
        </w:rPr>
        <w:t>sú popísané v kapitole 1.1</w:t>
      </w:r>
      <w:r w:rsidR="00D04813">
        <w:rPr>
          <w:lang w:val="sk-SK"/>
        </w:rPr>
        <w:t xml:space="preserve">. </w:t>
      </w:r>
      <w:r w:rsidR="00B741A7">
        <w:rPr>
          <w:i/>
          <w:color w:val="FF0000"/>
          <w:lang w:val="sk-SK"/>
        </w:rPr>
        <w:br w:type="page"/>
      </w:r>
    </w:p>
    <w:p w14:paraId="0CADAA8E" w14:textId="77777777" w:rsidR="00737986" w:rsidRPr="002D0BF0" w:rsidRDefault="002D0BF0" w:rsidP="00865E38">
      <w:pPr>
        <w:jc w:val="both"/>
        <w:rPr>
          <w:b/>
          <w:lang w:val="sk-SK"/>
        </w:rPr>
      </w:pPr>
      <w:r w:rsidRPr="002D0BF0">
        <w:rPr>
          <w:b/>
          <w:lang w:val="sk-SK"/>
        </w:rPr>
        <w:lastRenderedPageBreak/>
        <w:t>Akčný plán pre oblasť celoživotného kariérového poradenstva</w:t>
      </w:r>
      <w:r>
        <w:rPr>
          <w:b/>
          <w:lang w:val="sk-SK"/>
        </w:rPr>
        <w:t xml:space="preserve"> (s dôrazom na oblasť kariérového poradenstva pre dospelých)</w:t>
      </w:r>
    </w:p>
    <w:tbl>
      <w:tblPr>
        <w:tblStyle w:val="TableGrid"/>
        <w:tblW w:w="0" w:type="auto"/>
        <w:tblLook w:val="04A0" w:firstRow="1" w:lastRow="0" w:firstColumn="1" w:lastColumn="0" w:noHBand="0" w:noVBand="1"/>
      </w:tblPr>
      <w:tblGrid>
        <w:gridCol w:w="495"/>
        <w:gridCol w:w="3571"/>
        <w:gridCol w:w="1580"/>
        <w:gridCol w:w="1599"/>
        <w:gridCol w:w="2105"/>
      </w:tblGrid>
      <w:tr w:rsidR="009D4CA7" w14:paraId="0CADAA94" w14:textId="77777777" w:rsidTr="002D0BF0">
        <w:tc>
          <w:tcPr>
            <w:tcW w:w="495" w:type="dxa"/>
            <w:shd w:val="clear" w:color="auto" w:fill="B4C6E7" w:themeFill="accent1" w:themeFillTint="66"/>
          </w:tcPr>
          <w:p w14:paraId="0CADAA8F" w14:textId="77777777" w:rsidR="009D4CA7" w:rsidRPr="002D0BF0" w:rsidRDefault="009D4CA7">
            <w:pPr>
              <w:rPr>
                <w:b/>
              </w:rPr>
            </w:pPr>
            <w:r w:rsidRPr="002D0BF0">
              <w:rPr>
                <w:b/>
              </w:rPr>
              <w:t>Č.</w:t>
            </w:r>
          </w:p>
        </w:tc>
        <w:tc>
          <w:tcPr>
            <w:tcW w:w="3571" w:type="dxa"/>
            <w:shd w:val="clear" w:color="auto" w:fill="B4C6E7" w:themeFill="accent1" w:themeFillTint="66"/>
          </w:tcPr>
          <w:p w14:paraId="0CADAA90" w14:textId="77777777" w:rsidR="009D4CA7" w:rsidRPr="002D0BF0" w:rsidRDefault="009D4CA7">
            <w:pPr>
              <w:rPr>
                <w:b/>
              </w:rPr>
            </w:pPr>
            <w:r w:rsidRPr="002D0BF0">
              <w:rPr>
                <w:b/>
              </w:rPr>
              <w:t>Názov úlohy</w:t>
            </w:r>
          </w:p>
        </w:tc>
        <w:tc>
          <w:tcPr>
            <w:tcW w:w="1580" w:type="dxa"/>
            <w:shd w:val="clear" w:color="auto" w:fill="B4C6E7" w:themeFill="accent1" w:themeFillTint="66"/>
          </w:tcPr>
          <w:p w14:paraId="0CADAA91" w14:textId="77777777" w:rsidR="009D4CA7" w:rsidRPr="002D0BF0" w:rsidRDefault="009D4CA7">
            <w:pPr>
              <w:rPr>
                <w:b/>
              </w:rPr>
            </w:pPr>
            <w:r w:rsidRPr="002D0BF0">
              <w:rPr>
                <w:b/>
              </w:rPr>
              <w:t>Zodpovednosť</w:t>
            </w:r>
          </w:p>
        </w:tc>
        <w:tc>
          <w:tcPr>
            <w:tcW w:w="1599" w:type="dxa"/>
            <w:shd w:val="clear" w:color="auto" w:fill="B4C6E7" w:themeFill="accent1" w:themeFillTint="66"/>
          </w:tcPr>
          <w:p w14:paraId="0CADAA92" w14:textId="77777777" w:rsidR="009D4CA7" w:rsidRPr="002D0BF0" w:rsidRDefault="009D4CA7">
            <w:pPr>
              <w:rPr>
                <w:b/>
              </w:rPr>
            </w:pPr>
            <w:r w:rsidRPr="002D0BF0">
              <w:rPr>
                <w:b/>
              </w:rPr>
              <w:t>Termín plnenia</w:t>
            </w:r>
          </w:p>
        </w:tc>
        <w:tc>
          <w:tcPr>
            <w:tcW w:w="2105" w:type="dxa"/>
            <w:shd w:val="clear" w:color="auto" w:fill="B4C6E7" w:themeFill="accent1" w:themeFillTint="66"/>
          </w:tcPr>
          <w:p w14:paraId="0CADAA93" w14:textId="77777777" w:rsidR="009D4CA7" w:rsidRPr="002D0BF0" w:rsidRDefault="009D4CA7">
            <w:pPr>
              <w:rPr>
                <w:b/>
              </w:rPr>
            </w:pPr>
            <w:r w:rsidRPr="002D0BF0">
              <w:rPr>
                <w:b/>
              </w:rPr>
              <w:t>Zdroje financovania</w:t>
            </w:r>
          </w:p>
        </w:tc>
      </w:tr>
      <w:tr w:rsidR="0077425D" w14:paraId="0CADAA97" w14:textId="77777777" w:rsidTr="002D0BF0">
        <w:tc>
          <w:tcPr>
            <w:tcW w:w="495" w:type="dxa"/>
            <w:shd w:val="clear" w:color="auto" w:fill="D9E2F3" w:themeFill="accent1" w:themeFillTint="33"/>
          </w:tcPr>
          <w:p w14:paraId="0CADAA95" w14:textId="77777777" w:rsidR="0077425D" w:rsidRPr="002D0BF0" w:rsidRDefault="0077425D">
            <w:pPr>
              <w:rPr>
                <w:b/>
                <w:i/>
              </w:rPr>
            </w:pPr>
            <w:r w:rsidRPr="002D0BF0">
              <w:rPr>
                <w:b/>
                <w:i/>
              </w:rPr>
              <w:t>1</w:t>
            </w:r>
          </w:p>
        </w:tc>
        <w:tc>
          <w:tcPr>
            <w:tcW w:w="8855" w:type="dxa"/>
            <w:gridSpan w:val="4"/>
            <w:shd w:val="clear" w:color="auto" w:fill="D9E2F3" w:themeFill="accent1" w:themeFillTint="33"/>
          </w:tcPr>
          <w:p w14:paraId="0CADAA96" w14:textId="77777777" w:rsidR="0077425D" w:rsidRPr="002D0BF0" w:rsidRDefault="0077425D">
            <w:pPr>
              <w:rPr>
                <w:b/>
                <w:i/>
              </w:rPr>
            </w:pPr>
            <w:r w:rsidRPr="002D0BF0">
              <w:rPr>
                <w:b/>
                <w:i/>
              </w:rPr>
              <w:t>Zvýšiť dostupnosť kariérového poradenstva</w:t>
            </w:r>
          </w:p>
        </w:tc>
      </w:tr>
      <w:tr w:rsidR="006711FC" w:rsidRPr="00432080" w14:paraId="0CADAA9D" w14:textId="77777777" w:rsidTr="0077425D">
        <w:tc>
          <w:tcPr>
            <w:tcW w:w="495" w:type="dxa"/>
          </w:tcPr>
          <w:p w14:paraId="0CADAA98" w14:textId="77777777" w:rsidR="006711FC" w:rsidRPr="002D0BF0" w:rsidRDefault="006711FC">
            <w:r w:rsidRPr="002D0BF0">
              <w:t>1.1</w:t>
            </w:r>
          </w:p>
        </w:tc>
        <w:tc>
          <w:tcPr>
            <w:tcW w:w="3571" w:type="dxa"/>
          </w:tcPr>
          <w:p w14:paraId="0CADAA99" w14:textId="77777777" w:rsidR="006711FC" w:rsidRPr="002D0BF0" w:rsidRDefault="006711FC">
            <w:r w:rsidRPr="002D0BF0">
              <w:t>Začať implementáciu varianty A </w:t>
            </w:r>
            <w:r w:rsidR="000A1195">
              <w:t>(„</w:t>
            </w:r>
            <w:r w:rsidR="000A1195" w:rsidRPr="000A1195">
              <w:rPr>
                <w:i/>
              </w:rPr>
              <w:t>služby zamestnanosti</w:t>
            </w:r>
            <w:r w:rsidR="000A1195">
              <w:t xml:space="preserve">“) </w:t>
            </w:r>
            <w:r w:rsidRPr="002D0BF0">
              <w:t>alebo B</w:t>
            </w:r>
            <w:r w:rsidR="000A1195">
              <w:t xml:space="preserve"> („</w:t>
            </w:r>
            <w:r w:rsidR="000A1195">
              <w:rPr>
                <w:i/>
              </w:rPr>
              <w:t>verejno-súkromné partnerstvo“</w:t>
            </w:r>
            <w:r w:rsidR="000A1195" w:rsidRPr="00790AE6">
              <w:t>)</w:t>
            </w:r>
            <w:r w:rsidRPr="002D0BF0">
              <w:t xml:space="preserve"> pre </w:t>
            </w:r>
            <w:r w:rsidR="000A1195">
              <w:t>zvýšenie dostupnosti</w:t>
            </w:r>
            <w:r w:rsidRPr="002D0BF0">
              <w:t xml:space="preserve"> kariérového poradenstva pre dospelých</w:t>
            </w:r>
          </w:p>
        </w:tc>
        <w:tc>
          <w:tcPr>
            <w:tcW w:w="1580" w:type="dxa"/>
          </w:tcPr>
          <w:p w14:paraId="0CADAA9A" w14:textId="77777777" w:rsidR="006711FC" w:rsidRPr="002D0BF0" w:rsidRDefault="006711FC">
            <w:r w:rsidRPr="002D0BF0">
              <w:t xml:space="preserve">MPSVR / </w:t>
            </w:r>
            <w:r w:rsidR="00DD150B" w:rsidRPr="002D0BF0">
              <w:t>MŠVVaŠ</w:t>
            </w:r>
          </w:p>
        </w:tc>
        <w:tc>
          <w:tcPr>
            <w:tcW w:w="1599" w:type="dxa"/>
          </w:tcPr>
          <w:p w14:paraId="0CADAA9B" w14:textId="77777777" w:rsidR="006711FC" w:rsidRPr="002D0BF0" w:rsidRDefault="006F5E95">
            <w:r w:rsidRPr="002D0BF0">
              <w:t>2019</w:t>
            </w:r>
          </w:p>
        </w:tc>
        <w:tc>
          <w:tcPr>
            <w:tcW w:w="2105" w:type="dxa"/>
          </w:tcPr>
          <w:p w14:paraId="0CADAA9C" w14:textId="77777777" w:rsidR="006711FC" w:rsidRPr="002D0BF0" w:rsidRDefault="00856C8B">
            <w:r w:rsidRPr="002D0BF0">
              <w:t>Z kapitoly MPSVR ESF v rámci OP ĽZ</w:t>
            </w:r>
          </w:p>
        </w:tc>
      </w:tr>
      <w:tr w:rsidR="00856C8B" w:rsidRPr="00432080" w14:paraId="0CADAAA3" w14:textId="77777777" w:rsidTr="0077425D">
        <w:tc>
          <w:tcPr>
            <w:tcW w:w="495" w:type="dxa"/>
          </w:tcPr>
          <w:p w14:paraId="0CADAA9E" w14:textId="77777777" w:rsidR="00856C8B" w:rsidRPr="002D0BF0" w:rsidRDefault="00856C8B">
            <w:r w:rsidRPr="002D0BF0">
              <w:t>1.2</w:t>
            </w:r>
          </w:p>
        </w:tc>
        <w:tc>
          <w:tcPr>
            <w:tcW w:w="3571" w:type="dxa"/>
          </w:tcPr>
          <w:p w14:paraId="0CADAA9F" w14:textId="77777777" w:rsidR="00856C8B" w:rsidRPr="002D0BF0" w:rsidRDefault="00856C8B">
            <w:r w:rsidRPr="002D0BF0">
              <w:t xml:space="preserve">Zabezpečiť </w:t>
            </w:r>
            <w:r w:rsidR="000C4CF7" w:rsidRPr="002D0BF0">
              <w:t>otvorený prístup k existujúcim dátam, databázam a</w:t>
            </w:r>
            <w:r w:rsidR="00BC2B55" w:rsidRPr="002D0BF0">
              <w:t> </w:t>
            </w:r>
            <w:r w:rsidR="000C4CF7" w:rsidRPr="002D0BF0">
              <w:t>portálom</w:t>
            </w:r>
            <w:r w:rsidR="00BC2B55" w:rsidRPr="002D0BF0">
              <w:t xml:space="preserve"> obsahujúcim kariérové informácie</w:t>
            </w:r>
          </w:p>
        </w:tc>
        <w:tc>
          <w:tcPr>
            <w:tcW w:w="1580" w:type="dxa"/>
          </w:tcPr>
          <w:p w14:paraId="0CADAAA0" w14:textId="77777777" w:rsidR="00856C8B" w:rsidRPr="002D0BF0" w:rsidRDefault="000C4CF7">
            <w:r w:rsidRPr="002D0BF0">
              <w:t>MPSVR / MŠVVaŠ</w:t>
            </w:r>
          </w:p>
        </w:tc>
        <w:tc>
          <w:tcPr>
            <w:tcW w:w="1599" w:type="dxa"/>
          </w:tcPr>
          <w:p w14:paraId="0CADAAA1" w14:textId="77777777" w:rsidR="00856C8B" w:rsidRPr="002D0BF0" w:rsidRDefault="000C4CF7">
            <w:r w:rsidRPr="002D0BF0">
              <w:t>Priebežne</w:t>
            </w:r>
          </w:p>
        </w:tc>
        <w:tc>
          <w:tcPr>
            <w:tcW w:w="2105" w:type="dxa"/>
          </w:tcPr>
          <w:p w14:paraId="0CADAAA2" w14:textId="77777777" w:rsidR="00856C8B" w:rsidRPr="002D0BF0" w:rsidRDefault="00BC2B55">
            <w:r w:rsidRPr="002D0BF0">
              <w:t>Z rozpočtovej kapitoly rezortov (v závislosti na konkrétnych portálov</w:t>
            </w:r>
            <w:r w:rsidR="0077425D" w:rsidRPr="002D0BF0">
              <w:t>)</w:t>
            </w:r>
          </w:p>
        </w:tc>
      </w:tr>
      <w:tr w:rsidR="00BC2B55" w:rsidRPr="00432080" w14:paraId="0CADAAA9" w14:textId="77777777" w:rsidTr="0077425D">
        <w:tc>
          <w:tcPr>
            <w:tcW w:w="495" w:type="dxa"/>
          </w:tcPr>
          <w:p w14:paraId="0CADAAA4" w14:textId="77777777" w:rsidR="00BC2B55" w:rsidRPr="002D0BF0" w:rsidRDefault="00BC2B55">
            <w:r w:rsidRPr="002D0BF0">
              <w:t>1.3</w:t>
            </w:r>
          </w:p>
        </w:tc>
        <w:tc>
          <w:tcPr>
            <w:tcW w:w="3571" w:type="dxa"/>
          </w:tcPr>
          <w:p w14:paraId="0CADAAA5" w14:textId="77777777" w:rsidR="00BC2B55" w:rsidRPr="002D0BF0" w:rsidRDefault="00565093">
            <w:r w:rsidRPr="002D0BF0">
              <w:t>Zvoliť si existujúci portál financovaný z verejných zdrojov pre rozvoj do podoby „Ná</w:t>
            </w:r>
            <w:r w:rsidR="0077425D" w:rsidRPr="002D0BF0">
              <w:t>rodného kariérového portálu“</w:t>
            </w:r>
          </w:p>
        </w:tc>
        <w:tc>
          <w:tcPr>
            <w:tcW w:w="1580" w:type="dxa"/>
          </w:tcPr>
          <w:p w14:paraId="0CADAAA6" w14:textId="77777777" w:rsidR="00BC2B55" w:rsidRPr="002D0BF0" w:rsidRDefault="0077425D">
            <w:r w:rsidRPr="002D0BF0">
              <w:t>MPSVR / MŠVVaŠ</w:t>
            </w:r>
          </w:p>
        </w:tc>
        <w:tc>
          <w:tcPr>
            <w:tcW w:w="1599" w:type="dxa"/>
          </w:tcPr>
          <w:p w14:paraId="0CADAAA7" w14:textId="77777777" w:rsidR="00BC2B55" w:rsidRPr="002D0BF0" w:rsidRDefault="0077425D">
            <w:r w:rsidRPr="002D0BF0">
              <w:t>2019</w:t>
            </w:r>
          </w:p>
        </w:tc>
        <w:tc>
          <w:tcPr>
            <w:tcW w:w="2105" w:type="dxa"/>
          </w:tcPr>
          <w:p w14:paraId="0CADAAA8" w14:textId="24D01778" w:rsidR="00BC2B55" w:rsidRPr="002D0BF0" w:rsidRDefault="0077425D" w:rsidP="008B2EE0">
            <w:r w:rsidRPr="002D0BF0">
              <w:t xml:space="preserve">Z rozpočtovej kapitoly rezortov (v závislosti </w:t>
            </w:r>
            <w:r w:rsidR="008B2EE0">
              <w:t>od</w:t>
            </w:r>
            <w:r w:rsidRPr="002D0BF0">
              <w:t xml:space="preserve"> konkrétnych portálov)</w:t>
            </w:r>
          </w:p>
        </w:tc>
      </w:tr>
      <w:tr w:rsidR="00BE70D2" w:rsidRPr="00856C8B" w14:paraId="0CADAAAC" w14:textId="77777777" w:rsidTr="002D0BF0">
        <w:tc>
          <w:tcPr>
            <w:tcW w:w="495" w:type="dxa"/>
            <w:shd w:val="clear" w:color="auto" w:fill="D9E2F3" w:themeFill="accent1" w:themeFillTint="33"/>
          </w:tcPr>
          <w:p w14:paraId="0CADAAAA" w14:textId="77777777" w:rsidR="00BE70D2" w:rsidRPr="002D0BF0" w:rsidRDefault="00BE70D2">
            <w:pPr>
              <w:rPr>
                <w:b/>
                <w:i/>
              </w:rPr>
            </w:pPr>
            <w:r w:rsidRPr="002D0BF0">
              <w:rPr>
                <w:b/>
                <w:i/>
              </w:rPr>
              <w:t>2</w:t>
            </w:r>
          </w:p>
        </w:tc>
        <w:tc>
          <w:tcPr>
            <w:tcW w:w="8855" w:type="dxa"/>
            <w:gridSpan w:val="4"/>
            <w:shd w:val="clear" w:color="auto" w:fill="D9E2F3" w:themeFill="accent1" w:themeFillTint="33"/>
          </w:tcPr>
          <w:p w14:paraId="0CADAAAB" w14:textId="77777777" w:rsidR="00BE70D2" w:rsidRPr="002D0BF0" w:rsidRDefault="00BE70D2">
            <w:pPr>
              <w:rPr>
                <w:b/>
                <w:i/>
              </w:rPr>
            </w:pPr>
            <w:r w:rsidRPr="002D0BF0">
              <w:rPr>
                <w:b/>
                <w:i/>
              </w:rPr>
              <w:t>Zvyšovať kvalitu kariérového poradenstva</w:t>
            </w:r>
          </w:p>
        </w:tc>
      </w:tr>
      <w:tr w:rsidR="00BE70D2" w:rsidRPr="00856C8B" w14:paraId="0CADAAB2" w14:textId="77777777" w:rsidTr="0077425D">
        <w:tc>
          <w:tcPr>
            <w:tcW w:w="495" w:type="dxa"/>
          </w:tcPr>
          <w:p w14:paraId="0CADAAAD" w14:textId="77777777" w:rsidR="00BE70D2" w:rsidRPr="002D0BF0" w:rsidRDefault="00BE70D2">
            <w:r w:rsidRPr="002D0BF0">
              <w:t>2.1</w:t>
            </w:r>
          </w:p>
        </w:tc>
        <w:tc>
          <w:tcPr>
            <w:tcW w:w="3571" w:type="dxa"/>
          </w:tcPr>
          <w:p w14:paraId="0CADAAAE" w14:textId="77777777" w:rsidR="00BE70D2" w:rsidRPr="002D0BF0" w:rsidRDefault="00BE70D2">
            <w:r w:rsidRPr="002D0BF0">
              <w:t>Vytvoriť Národný rámec zručností pre riadenie vlastnej kariéry</w:t>
            </w:r>
          </w:p>
        </w:tc>
        <w:tc>
          <w:tcPr>
            <w:tcW w:w="1580" w:type="dxa"/>
          </w:tcPr>
          <w:p w14:paraId="0CADAAAF" w14:textId="77777777" w:rsidR="00BE70D2" w:rsidRPr="002D0BF0" w:rsidRDefault="00BE70D2">
            <w:r w:rsidRPr="002D0BF0">
              <w:t>MPSVR / MŠVVaŠ</w:t>
            </w:r>
          </w:p>
        </w:tc>
        <w:tc>
          <w:tcPr>
            <w:tcW w:w="1599" w:type="dxa"/>
          </w:tcPr>
          <w:p w14:paraId="0CADAAB0" w14:textId="77777777" w:rsidR="00BE70D2" w:rsidRPr="002D0BF0" w:rsidRDefault="00BE70D2">
            <w:r w:rsidRPr="002D0BF0">
              <w:t>2019</w:t>
            </w:r>
          </w:p>
        </w:tc>
        <w:tc>
          <w:tcPr>
            <w:tcW w:w="2105" w:type="dxa"/>
          </w:tcPr>
          <w:p w14:paraId="0CADAAB1" w14:textId="77777777" w:rsidR="00BE70D2" w:rsidRPr="002D0BF0" w:rsidRDefault="00C66090">
            <w:r w:rsidRPr="002D0BF0">
              <w:t>Bez nároku na rozpočet</w:t>
            </w:r>
          </w:p>
        </w:tc>
      </w:tr>
      <w:tr w:rsidR="007A6D35" w:rsidRPr="00856C8B" w14:paraId="0CADAAB8" w14:textId="77777777" w:rsidTr="0077425D">
        <w:tc>
          <w:tcPr>
            <w:tcW w:w="495" w:type="dxa"/>
          </w:tcPr>
          <w:p w14:paraId="0CADAAB3" w14:textId="77777777" w:rsidR="007A6D35" w:rsidRPr="002D0BF0" w:rsidRDefault="007A6D35">
            <w:r w:rsidRPr="002D0BF0">
              <w:t>2.2</w:t>
            </w:r>
          </w:p>
        </w:tc>
        <w:tc>
          <w:tcPr>
            <w:tcW w:w="3571" w:type="dxa"/>
          </w:tcPr>
          <w:p w14:paraId="0CADAAB4" w14:textId="636294E4" w:rsidR="007A6D35" w:rsidRPr="002D0BF0" w:rsidRDefault="004562E4">
            <w:r w:rsidRPr="002D0BF0">
              <w:t>Implementovať spoločný rámcový štandard kvality pre poskytovateľov kariérového poradenstva v rôznych sektoroch</w:t>
            </w:r>
          </w:p>
        </w:tc>
        <w:tc>
          <w:tcPr>
            <w:tcW w:w="1580" w:type="dxa"/>
          </w:tcPr>
          <w:p w14:paraId="0CADAAB5" w14:textId="77777777" w:rsidR="007A6D35" w:rsidRPr="002D0BF0" w:rsidRDefault="00C66090">
            <w:r w:rsidRPr="002D0BF0">
              <w:t>MŠVVaŠ</w:t>
            </w:r>
          </w:p>
        </w:tc>
        <w:tc>
          <w:tcPr>
            <w:tcW w:w="1599" w:type="dxa"/>
          </w:tcPr>
          <w:p w14:paraId="0CADAAB6" w14:textId="77777777" w:rsidR="007A6D35" w:rsidRPr="002D0BF0" w:rsidRDefault="00C66090">
            <w:r w:rsidRPr="002D0BF0">
              <w:t>2019</w:t>
            </w:r>
          </w:p>
        </w:tc>
        <w:tc>
          <w:tcPr>
            <w:tcW w:w="2105" w:type="dxa"/>
          </w:tcPr>
          <w:p w14:paraId="0CADAAB7" w14:textId="77777777" w:rsidR="007A6D35" w:rsidRPr="002D0BF0" w:rsidRDefault="00C66090">
            <w:r w:rsidRPr="002D0BF0">
              <w:t>Bez nároku na rozpočet</w:t>
            </w:r>
          </w:p>
        </w:tc>
      </w:tr>
      <w:tr w:rsidR="00C66090" w:rsidRPr="00856C8B" w14:paraId="0CADAABE" w14:textId="77777777" w:rsidTr="0077425D">
        <w:tc>
          <w:tcPr>
            <w:tcW w:w="495" w:type="dxa"/>
          </w:tcPr>
          <w:p w14:paraId="0CADAAB9" w14:textId="77777777" w:rsidR="00C66090" w:rsidRPr="002D0BF0" w:rsidRDefault="001D1A83">
            <w:r w:rsidRPr="002D0BF0">
              <w:t>2.3</w:t>
            </w:r>
          </w:p>
        </w:tc>
        <w:tc>
          <w:tcPr>
            <w:tcW w:w="3571" w:type="dxa"/>
          </w:tcPr>
          <w:p w14:paraId="0CADAABA" w14:textId="774096E3" w:rsidR="004562E4" w:rsidRPr="002D0BF0" w:rsidRDefault="004562E4">
            <w:r w:rsidRPr="002D0BF0">
              <w:t>Zaviesť možnosť uznávania kvalifikácií v oblasti kariérového poradenstva</w:t>
            </w:r>
          </w:p>
        </w:tc>
        <w:tc>
          <w:tcPr>
            <w:tcW w:w="1580" w:type="dxa"/>
          </w:tcPr>
          <w:p w14:paraId="0CADAABB" w14:textId="77777777" w:rsidR="00C66090" w:rsidRPr="002D0BF0" w:rsidRDefault="001D1A83">
            <w:r w:rsidRPr="002D0BF0">
              <w:t>MPSVR / MŠVVaŠ</w:t>
            </w:r>
          </w:p>
        </w:tc>
        <w:tc>
          <w:tcPr>
            <w:tcW w:w="1599" w:type="dxa"/>
          </w:tcPr>
          <w:p w14:paraId="0CADAABC" w14:textId="77777777" w:rsidR="00C66090" w:rsidRPr="002D0BF0" w:rsidRDefault="001D1A83">
            <w:r w:rsidRPr="002D0BF0">
              <w:t>2019</w:t>
            </w:r>
          </w:p>
        </w:tc>
        <w:tc>
          <w:tcPr>
            <w:tcW w:w="2105" w:type="dxa"/>
          </w:tcPr>
          <w:p w14:paraId="0CADAABD" w14:textId="77777777" w:rsidR="00C66090" w:rsidRPr="002D0BF0" w:rsidRDefault="001D1A83">
            <w:r w:rsidRPr="002D0BF0">
              <w:t>Bez nároku na rozpočet</w:t>
            </w:r>
          </w:p>
        </w:tc>
      </w:tr>
      <w:tr w:rsidR="00BB5BFB" w:rsidRPr="00432080" w14:paraId="0CADAAC1" w14:textId="77777777" w:rsidTr="002D0BF0">
        <w:tc>
          <w:tcPr>
            <w:tcW w:w="495" w:type="dxa"/>
            <w:shd w:val="clear" w:color="auto" w:fill="D9E2F3" w:themeFill="accent1" w:themeFillTint="33"/>
          </w:tcPr>
          <w:p w14:paraId="0CADAABF" w14:textId="77777777" w:rsidR="00BB5BFB" w:rsidRPr="002D0BF0" w:rsidRDefault="00BB5BFB">
            <w:pPr>
              <w:rPr>
                <w:b/>
                <w:i/>
              </w:rPr>
            </w:pPr>
            <w:r w:rsidRPr="002D0BF0">
              <w:rPr>
                <w:b/>
                <w:i/>
              </w:rPr>
              <w:t>3</w:t>
            </w:r>
          </w:p>
        </w:tc>
        <w:tc>
          <w:tcPr>
            <w:tcW w:w="8855" w:type="dxa"/>
            <w:gridSpan w:val="4"/>
            <w:shd w:val="clear" w:color="auto" w:fill="D9E2F3" w:themeFill="accent1" w:themeFillTint="33"/>
          </w:tcPr>
          <w:p w14:paraId="0CADAAC0" w14:textId="77777777" w:rsidR="00BB5BFB" w:rsidRPr="002D0BF0" w:rsidRDefault="00BB5BFB">
            <w:pPr>
              <w:rPr>
                <w:b/>
                <w:i/>
              </w:rPr>
            </w:pPr>
            <w:r w:rsidRPr="002D0BF0">
              <w:rPr>
                <w:b/>
                <w:i/>
              </w:rPr>
              <w:t>Zabezpečiť systémové riadenie a koordináciu</w:t>
            </w:r>
          </w:p>
        </w:tc>
      </w:tr>
      <w:tr w:rsidR="009E5D88" w:rsidRPr="00856C8B" w14:paraId="0CADAAC7" w14:textId="77777777" w:rsidTr="0077425D">
        <w:tc>
          <w:tcPr>
            <w:tcW w:w="495" w:type="dxa"/>
          </w:tcPr>
          <w:p w14:paraId="0CADAAC2" w14:textId="77777777" w:rsidR="009E5D88" w:rsidRPr="002D0BF0" w:rsidRDefault="009E5D88" w:rsidP="009E5D88">
            <w:r w:rsidRPr="002D0BF0">
              <w:t>3.1</w:t>
            </w:r>
          </w:p>
        </w:tc>
        <w:tc>
          <w:tcPr>
            <w:tcW w:w="3571" w:type="dxa"/>
          </w:tcPr>
          <w:p w14:paraId="0CADAAC3" w14:textId="70B70908" w:rsidR="009E5D88" w:rsidRPr="002D0BF0" w:rsidRDefault="009E5D88" w:rsidP="009E5D88">
            <w:r w:rsidRPr="002D0BF0">
              <w:t>Sfunkčniť Národné fórum</w:t>
            </w:r>
            <w:r w:rsidR="00AF5144">
              <w:t xml:space="preserve"> pre celoživotné poradenstvo</w:t>
            </w:r>
          </w:p>
        </w:tc>
        <w:tc>
          <w:tcPr>
            <w:tcW w:w="1580" w:type="dxa"/>
          </w:tcPr>
          <w:p w14:paraId="0CADAAC4" w14:textId="77777777" w:rsidR="009E5D88" w:rsidRPr="002D0BF0" w:rsidRDefault="00981075" w:rsidP="009E5D88">
            <w:r w:rsidRPr="002D0BF0">
              <w:t xml:space="preserve">MPSVR </w:t>
            </w:r>
            <w:r w:rsidR="009E5D88" w:rsidRPr="002D0BF0">
              <w:t>/ MŠVVaŠ</w:t>
            </w:r>
          </w:p>
        </w:tc>
        <w:tc>
          <w:tcPr>
            <w:tcW w:w="1599" w:type="dxa"/>
          </w:tcPr>
          <w:p w14:paraId="0CADAAC5" w14:textId="77777777" w:rsidR="009E5D88" w:rsidRPr="002D0BF0" w:rsidRDefault="009E5D88" w:rsidP="009E5D88">
            <w:r w:rsidRPr="002D0BF0">
              <w:t>2019</w:t>
            </w:r>
          </w:p>
        </w:tc>
        <w:tc>
          <w:tcPr>
            <w:tcW w:w="2105" w:type="dxa"/>
          </w:tcPr>
          <w:p w14:paraId="0CADAAC6" w14:textId="77777777" w:rsidR="009E5D88" w:rsidRPr="002D0BF0" w:rsidRDefault="009E5D88" w:rsidP="009E5D88">
            <w:r w:rsidRPr="002D0BF0">
              <w:t>Bez nároku na rozpočet</w:t>
            </w:r>
          </w:p>
        </w:tc>
      </w:tr>
      <w:tr w:rsidR="009E5D88" w:rsidRPr="00432080" w14:paraId="0CADAACD" w14:textId="77777777" w:rsidTr="0077425D">
        <w:tc>
          <w:tcPr>
            <w:tcW w:w="495" w:type="dxa"/>
          </w:tcPr>
          <w:p w14:paraId="0CADAAC8" w14:textId="77777777" w:rsidR="009E5D88" w:rsidRPr="002D0BF0" w:rsidRDefault="00981075" w:rsidP="009E5D88">
            <w:r w:rsidRPr="002D0BF0">
              <w:t>3.2</w:t>
            </w:r>
          </w:p>
        </w:tc>
        <w:tc>
          <w:tcPr>
            <w:tcW w:w="3571" w:type="dxa"/>
          </w:tcPr>
          <w:p w14:paraId="0CADAAC9" w14:textId="77777777" w:rsidR="009E5D88" w:rsidRPr="002D0BF0" w:rsidRDefault="00981075" w:rsidP="009E5D88">
            <w:r w:rsidRPr="002D0BF0">
              <w:t xml:space="preserve">Zaviesť systém stopovania </w:t>
            </w:r>
            <w:r w:rsidR="003E03E2">
              <w:t>klientov</w:t>
            </w:r>
            <w:r w:rsidRPr="002D0BF0">
              <w:t xml:space="preserve"> </w:t>
            </w:r>
            <w:r w:rsidR="003E03E2">
              <w:t>rôznych služieb kariérového poradenstva</w:t>
            </w:r>
          </w:p>
        </w:tc>
        <w:tc>
          <w:tcPr>
            <w:tcW w:w="1580" w:type="dxa"/>
          </w:tcPr>
          <w:p w14:paraId="0CADAACA" w14:textId="77777777" w:rsidR="009E5D88" w:rsidRPr="002D0BF0" w:rsidRDefault="00981075" w:rsidP="009E5D88">
            <w:r w:rsidRPr="002D0BF0">
              <w:t>MPSVR</w:t>
            </w:r>
          </w:p>
        </w:tc>
        <w:tc>
          <w:tcPr>
            <w:tcW w:w="1599" w:type="dxa"/>
          </w:tcPr>
          <w:p w14:paraId="0CADAACB" w14:textId="77777777" w:rsidR="009E5D88" w:rsidRPr="002D0BF0" w:rsidRDefault="00981075" w:rsidP="009E5D88">
            <w:r w:rsidRPr="002D0BF0">
              <w:t>2019</w:t>
            </w:r>
          </w:p>
        </w:tc>
        <w:tc>
          <w:tcPr>
            <w:tcW w:w="2105" w:type="dxa"/>
          </w:tcPr>
          <w:p w14:paraId="0CADAACC" w14:textId="77777777" w:rsidR="009E5D88" w:rsidRPr="002D0BF0" w:rsidRDefault="00981075" w:rsidP="009E5D88">
            <w:r w:rsidRPr="002D0BF0">
              <w:t>Z kapitoly MPSVR ESF v rámci OP ĽZ</w:t>
            </w:r>
          </w:p>
        </w:tc>
      </w:tr>
    </w:tbl>
    <w:p w14:paraId="0CADAACE" w14:textId="77777777" w:rsidR="00503324" w:rsidRPr="002D0BF0" w:rsidRDefault="00503324" w:rsidP="002D0BF0">
      <w:pPr>
        <w:rPr>
          <w:i/>
          <w:color w:val="FF0000"/>
          <w:lang w:val="sk-SK"/>
        </w:rPr>
      </w:pPr>
    </w:p>
    <w:sectPr w:rsidR="00503324" w:rsidRPr="002D0BF0" w:rsidSect="004449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AAE2" w14:textId="77777777" w:rsidR="009E3D23" w:rsidRDefault="009E3D23" w:rsidP="00F54C01">
      <w:pPr>
        <w:spacing w:after="0" w:line="240" w:lineRule="auto"/>
      </w:pPr>
      <w:r>
        <w:separator/>
      </w:r>
    </w:p>
  </w:endnote>
  <w:endnote w:type="continuationSeparator" w:id="0">
    <w:p w14:paraId="0CADAAE3" w14:textId="77777777" w:rsidR="009E3D23" w:rsidRDefault="009E3D23" w:rsidP="00F5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239566"/>
      <w:docPartObj>
        <w:docPartGallery w:val="Page Numbers (Bottom of Page)"/>
        <w:docPartUnique/>
      </w:docPartObj>
    </w:sdtPr>
    <w:sdtEndPr>
      <w:rPr>
        <w:noProof/>
      </w:rPr>
    </w:sdtEndPr>
    <w:sdtContent>
      <w:p w14:paraId="0CADAAE4" w14:textId="77777777" w:rsidR="00B168AA" w:rsidRDefault="001F7168">
        <w:pPr>
          <w:pStyle w:val="Footer"/>
          <w:jc w:val="right"/>
        </w:pPr>
        <w:r>
          <w:rPr>
            <w:noProof/>
          </w:rPr>
          <w:fldChar w:fldCharType="begin"/>
        </w:r>
        <w:r>
          <w:rPr>
            <w:noProof/>
          </w:rPr>
          <w:instrText xml:space="preserve"> PAGE   \* MERGEFORMAT </w:instrText>
        </w:r>
        <w:r>
          <w:rPr>
            <w:noProof/>
          </w:rPr>
          <w:fldChar w:fldCharType="separate"/>
        </w:r>
        <w:r w:rsidR="008B2EE0">
          <w:rPr>
            <w:noProof/>
          </w:rPr>
          <w:t>13</w:t>
        </w:r>
        <w:r>
          <w:rPr>
            <w:noProof/>
          </w:rPr>
          <w:fldChar w:fldCharType="end"/>
        </w:r>
      </w:p>
    </w:sdtContent>
  </w:sdt>
  <w:p w14:paraId="0CADAAE5" w14:textId="77777777" w:rsidR="00B168AA" w:rsidRDefault="00B1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AAE0" w14:textId="77777777" w:rsidR="009E3D23" w:rsidRDefault="009E3D23" w:rsidP="00F54C01">
      <w:pPr>
        <w:spacing w:after="0" w:line="240" w:lineRule="auto"/>
      </w:pPr>
      <w:r>
        <w:separator/>
      </w:r>
    </w:p>
  </w:footnote>
  <w:footnote w:type="continuationSeparator" w:id="0">
    <w:p w14:paraId="0CADAAE1" w14:textId="77777777" w:rsidR="009E3D23" w:rsidRDefault="009E3D23" w:rsidP="00F54C01">
      <w:pPr>
        <w:spacing w:after="0" w:line="240" w:lineRule="auto"/>
      </w:pPr>
      <w:r>
        <w:continuationSeparator/>
      </w:r>
    </w:p>
  </w:footnote>
  <w:footnote w:id="1">
    <w:p w14:paraId="0CADAAE6" w14:textId="77777777" w:rsidR="00B168AA" w:rsidRPr="00F45529" w:rsidRDefault="00B168AA" w:rsidP="00EA3F84">
      <w:pPr>
        <w:pStyle w:val="FootnoteText"/>
        <w:jc w:val="both"/>
        <w:rPr>
          <w:lang w:val="sk-SK"/>
        </w:rPr>
      </w:pPr>
      <w:r>
        <w:rPr>
          <w:rStyle w:val="FootnoteReference"/>
        </w:rPr>
        <w:footnoteRef/>
      </w:r>
      <w:r>
        <w:t xml:space="preserve"> </w:t>
      </w:r>
      <w:r>
        <w:rPr>
          <w:lang w:val="sk-SK"/>
        </w:rPr>
        <w:t xml:space="preserve">ELGPN glossary, </w:t>
      </w:r>
      <w:r w:rsidRPr="00F45529">
        <w:rPr>
          <w:lang w:val="sk-SK"/>
        </w:rPr>
        <w:t>http://www.elgpn.eu/elgpndb/search/metadata/view/229</w:t>
      </w:r>
    </w:p>
  </w:footnote>
  <w:footnote w:id="2">
    <w:p w14:paraId="0CADAAE7" w14:textId="77777777" w:rsidR="00B168AA" w:rsidRPr="00FC087E" w:rsidRDefault="00B168AA">
      <w:pPr>
        <w:pStyle w:val="FootnoteText"/>
        <w:rPr>
          <w:lang w:val="sk-SK"/>
        </w:rPr>
      </w:pPr>
      <w:r>
        <w:rPr>
          <w:rStyle w:val="FootnoteReference"/>
        </w:rPr>
        <w:footnoteRef/>
      </w:r>
      <w:r w:rsidRPr="00FC087E">
        <w:rPr>
          <w:lang w:val="sk-SK"/>
        </w:rPr>
        <w:t xml:space="preserve"> </w:t>
      </w:r>
      <w:r w:rsidRPr="003E6EC4">
        <w:rPr>
          <w:lang w:val="sk-SK"/>
        </w:rPr>
        <w:t>Killeen, J. and Kidd, J.M. (1991). Learning Outcomes of Guidance: A Review of Recent Research. London: Department of Employment.</w:t>
      </w:r>
    </w:p>
  </w:footnote>
  <w:footnote w:id="3">
    <w:p w14:paraId="0CADAAE8" w14:textId="77777777" w:rsidR="00B168AA" w:rsidRPr="00FE1B13" w:rsidRDefault="00B168AA" w:rsidP="00EA3F84">
      <w:pPr>
        <w:pStyle w:val="FootnoteText"/>
        <w:jc w:val="both"/>
        <w:rPr>
          <w:lang w:val="sk-SK"/>
        </w:rPr>
      </w:pPr>
      <w:r>
        <w:rPr>
          <w:rStyle w:val="FootnoteReference"/>
        </w:rPr>
        <w:footnoteRef/>
      </w:r>
      <w:r w:rsidRPr="00FE1B13">
        <w:rPr>
          <w:lang w:val="sk-SK"/>
        </w:rPr>
        <w:t xml:space="preserve"> </w:t>
      </w:r>
      <w:r>
        <w:rPr>
          <w:lang w:val="sk-SK"/>
        </w:rPr>
        <w:t>V slovenskom prostredí predchádzajúca účasť na programe kariérového/odborného poradenstva poskytovaného úradom práce, sociálnych vecí a rodiny významne zvyšuje pravdepodobnosť účasti nízkokvalifikovaného občana na rekvalifikačných programoch RE-PAS, ako aj pravdepodobnosť uplatnenia sa na trhu práce po absolvovaní rekvalifikačného kurzu.</w:t>
      </w:r>
    </w:p>
  </w:footnote>
  <w:footnote w:id="4">
    <w:p w14:paraId="0CADAAE9" w14:textId="77777777" w:rsidR="00B168AA" w:rsidRPr="00B04683" w:rsidRDefault="00B168AA">
      <w:pPr>
        <w:pStyle w:val="FootnoteText"/>
        <w:rPr>
          <w:lang w:val="sk-SK"/>
        </w:rPr>
      </w:pPr>
      <w:r>
        <w:rPr>
          <w:rStyle w:val="FootnoteReference"/>
        </w:rPr>
        <w:footnoteRef/>
      </w:r>
      <w:r w:rsidRPr="00B04683">
        <w:rPr>
          <w:lang w:val="sk-SK"/>
        </w:rPr>
        <w:t xml:space="preserve"> Cedefop (2016). Improving career prospects for the low-educated: the role of guidance and lifelong learning. Luxembourg: Publications Office. Cedefop research paper; No 54. http://dx.doi.org/10.2801/794545</w:t>
      </w:r>
    </w:p>
  </w:footnote>
  <w:footnote w:id="5">
    <w:p w14:paraId="0CADAAEA" w14:textId="77777777" w:rsidR="00B168AA" w:rsidRPr="003E6EC4" w:rsidRDefault="00B168AA" w:rsidP="00EA3F84">
      <w:pPr>
        <w:pStyle w:val="FootnoteText"/>
        <w:jc w:val="both"/>
        <w:rPr>
          <w:lang w:val="sk-SK"/>
        </w:rPr>
      </w:pPr>
      <w:r w:rsidRPr="003E6EC4">
        <w:rPr>
          <w:rStyle w:val="FootnoteReference"/>
          <w:lang w:val="sk-SK"/>
        </w:rPr>
        <w:footnoteRef/>
      </w:r>
      <w:r w:rsidRPr="003E6EC4">
        <w:rPr>
          <w:lang w:val="sk-SK"/>
        </w:rPr>
        <w:t xml:space="preserve"> </w:t>
      </w:r>
      <w:r>
        <w:rPr>
          <w:lang w:val="sk-SK"/>
        </w:rPr>
        <w:t>Pre efekty k</w:t>
      </w:r>
      <w:r w:rsidRPr="003E6EC4">
        <w:rPr>
          <w:lang w:val="sk-SK"/>
        </w:rPr>
        <w:t>ariérové</w:t>
      </w:r>
      <w:r>
        <w:rPr>
          <w:lang w:val="sk-SK"/>
        </w:rPr>
        <w:t>ho</w:t>
      </w:r>
      <w:r w:rsidRPr="003E6EC4">
        <w:rPr>
          <w:lang w:val="sk-SK"/>
        </w:rPr>
        <w:t xml:space="preserve"> poradenstv</w:t>
      </w:r>
      <w:r>
        <w:rPr>
          <w:lang w:val="sk-SK"/>
        </w:rPr>
        <w:t>a</w:t>
      </w:r>
      <w:r w:rsidRPr="003E6EC4">
        <w:rPr>
          <w:lang w:val="sk-SK"/>
        </w:rPr>
        <w:t xml:space="preserve"> v</w:t>
      </w:r>
      <w:r>
        <w:rPr>
          <w:lang w:val="sk-SK"/>
        </w:rPr>
        <w:t>  slovenských službách zamestnanosti na nízkokvalifikovaných občanov p</w:t>
      </w:r>
      <w:r w:rsidRPr="003E6EC4">
        <w:rPr>
          <w:lang w:val="sk-SK"/>
        </w:rPr>
        <w:t>ozri napr</w:t>
      </w:r>
      <w:r>
        <w:rPr>
          <w:lang w:val="sk-SK"/>
        </w:rPr>
        <w:t>.</w:t>
      </w:r>
      <w:r w:rsidRPr="003E6EC4">
        <w:rPr>
          <w:lang w:val="sk-SK"/>
        </w:rPr>
        <w:t xml:space="preserve"> Šprlák T., (2018). Na čo sa zamerať v poradenskom procese pre</w:t>
      </w:r>
      <w:r>
        <w:rPr>
          <w:lang w:val="sk-SK"/>
        </w:rPr>
        <w:t xml:space="preserve"> </w:t>
      </w:r>
      <w:r w:rsidRPr="003E6EC4">
        <w:rPr>
          <w:lang w:val="sk-SK"/>
        </w:rPr>
        <w:t>nezamestnaných?</w:t>
      </w:r>
      <w:r>
        <w:rPr>
          <w:lang w:val="sk-SK"/>
        </w:rPr>
        <w:t xml:space="preserve"> R</w:t>
      </w:r>
      <w:r w:rsidRPr="003E6EC4">
        <w:rPr>
          <w:lang w:val="sk-SK"/>
        </w:rPr>
        <w:t>ozvoj zamestnateľnosti mladých do 29 rokov</w:t>
      </w:r>
      <w:r>
        <w:rPr>
          <w:lang w:val="sk-SK"/>
        </w:rPr>
        <w:t xml:space="preserve"> </w:t>
      </w:r>
      <w:r w:rsidRPr="003E6EC4">
        <w:rPr>
          <w:lang w:val="sk-SK"/>
        </w:rPr>
        <w:t xml:space="preserve">a dlhodobo nezamestnaných – výsledky prieskumu Kariérové poradenstvo v teórii a praxi, roč. 2018, č. 13 </w:t>
      </w:r>
    </w:p>
  </w:footnote>
  <w:footnote w:id="6">
    <w:p w14:paraId="0CADAAEB" w14:textId="77777777" w:rsidR="00B168AA" w:rsidRPr="00DB0673" w:rsidRDefault="00B168AA" w:rsidP="00DA45FB">
      <w:pPr>
        <w:pStyle w:val="FootnoteText"/>
        <w:jc w:val="both"/>
        <w:rPr>
          <w:lang w:val="sk-SK"/>
        </w:rPr>
      </w:pPr>
      <w:r>
        <w:rPr>
          <w:rStyle w:val="FootnoteReference"/>
        </w:rPr>
        <w:footnoteRef/>
      </w:r>
      <w:r>
        <w:t xml:space="preserve"> </w:t>
      </w:r>
      <w:r w:rsidRPr="003E6EC4">
        <w:rPr>
          <w:lang w:val="sk-SK"/>
        </w:rPr>
        <w:t>Pozri napr. Graversen, B. K., and Van Ours, J. C. (2008). How to help unemployed find jobs quickly: Experimental evidence from a mandatory activation program. Journal of Public Economics, 92(10): 2020-2035.</w:t>
      </w:r>
    </w:p>
  </w:footnote>
  <w:footnote w:id="7">
    <w:p w14:paraId="0CADAAEC" w14:textId="77777777" w:rsidR="00B168AA" w:rsidRPr="0024490D" w:rsidRDefault="00B168AA">
      <w:pPr>
        <w:pStyle w:val="FootnoteText"/>
        <w:rPr>
          <w:lang w:val="sk-SK"/>
        </w:rPr>
      </w:pPr>
      <w:r>
        <w:rPr>
          <w:rStyle w:val="FootnoteReference"/>
        </w:rPr>
        <w:footnoteRef/>
      </w:r>
      <w:r>
        <w:t xml:space="preserve"> </w:t>
      </w:r>
      <w:proofErr w:type="spellStart"/>
      <w:r>
        <w:t>Pozri</w:t>
      </w:r>
      <w:proofErr w:type="spellEnd"/>
      <w:r>
        <w:t xml:space="preserve"> </w:t>
      </w:r>
      <w:proofErr w:type="spellStart"/>
      <w:r>
        <w:t>napr</w:t>
      </w:r>
      <w:proofErr w:type="spellEnd"/>
      <w:r>
        <w:t xml:space="preserve">. </w:t>
      </w:r>
      <w:r w:rsidRPr="003E6EC4">
        <w:rPr>
          <w:lang w:val="sk-SK"/>
        </w:rPr>
        <w:t>OECD. (2004). Career Guidance and Public Policy: Bridging the Gap. Paris: OECD</w:t>
      </w:r>
    </w:p>
  </w:footnote>
  <w:footnote w:id="8">
    <w:p w14:paraId="0CADAAED" w14:textId="77777777" w:rsidR="00B168AA" w:rsidRPr="00247BB2" w:rsidRDefault="00B168AA" w:rsidP="00DA45FB">
      <w:pPr>
        <w:pStyle w:val="FootnoteText"/>
        <w:jc w:val="both"/>
        <w:rPr>
          <w:lang w:val="sk-SK"/>
        </w:rPr>
      </w:pPr>
      <w:r>
        <w:rPr>
          <w:rStyle w:val="FootnoteReference"/>
        </w:rPr>
        <w:footnoteRef/>
      </w:r>
      <w:r>
        <w:t xml:space="preserve"> </w:t>
      </w:r>
      <w:r w:rsidRPr="00247BB2">
        <w:t xml:space="preserve">Musset, P. and L. </w:t>
      </w:r>
      <w:proofErr w:type="spellStart"/>
      <w:r w:rsidRPr="00247BB2">
        <w:t>Mytna</w:t>
      </w:r>
      <w:proofErr w:type="spellEnd"/>
      <w:r w:rsidRPr="00247BB2">
        <w:t xml:space="preserve"> </w:t>
      </w:r>
      <w:proofErr w:type="spellStart"/>
      <w:r w:rsidRPr="00247BB2">
        <w:t>Kurekova</w:t>
      </w:r>
      <w:proofErr w:type="spellEnd"/>
      <w:r w:rsidRPr="00247BB2">
        <w:t xml:space="preserve"> (2018), "Working it out: Career Guidance and Employer Engagement", OECD Education Working Papers, No. 175, OECD Publishing, Paris, https://doi.org/10.1787/51c9d18d-en.</w:t>
      </w:r>
    </w:p>
  </w:footnote>
  <w:footnote w:id="9">
    <w:p w14:paraId="0CADAAEE" w14:textId="77777777" w:rsidR="00B168AA" w:rsidRPr="00424181" w:rsidRDefault="00B168AA" w:rsidP="00DA45FB">
      <w:pPr>
        <w:pStyle w:val="FootnoteText"/>
        <w:jc w:val="both"/>
        <w:rPr>
          <w:lang w:val="sk-SK"/>
        </w:rPr>
      </w:pPr>
      <w:r>
        <w:rPr>
          <w:rStyle w:val="FootnoteReference"/>
        </w:rPr>
        <w:footnoteRef/>
      </w:r>
      <w:r w:rsidRPr="00424181">
        <w:rPr>
          <w:lang w:val="sk-SK"/>
        </w:rPr>
        <w:t xml:space="preserve"> </w:t>
      </w:r>
      <w:r>
        <w:rPr>
          <w:lang w:val="sk-SK"/>
        </w:rPr>
        <w:t xml:space="preserve">V rámci tvorby kapitoly oslovilo Združenie pre kariérové poradenstvo a rozvoj kariéry expertov, poskytovateľov kariérového poradenstva, zamestnávateľské zväzy, odbory, predstaviteľov samospráv a ďalšie relevantné zapojené strany. Kapitola vychádza z odpovedí viac ako 140 respondentov za všetky oblasti celoživotného poradenstva.  </w:t>
      </w:r>
    </w:p>
  </w:footnote>
  <w:footnote w:id="10">
    <w:p w14:paraId="0CADAAEF" w14:textId="77777777" w:rsidR="00B168AA" w:rsidRPr="003E6EC4" w:rsidRDefault="00B168AA" w:rsidP="00E72D84">
      <w:pPr>
        <w:pStyle w:val="FootnoteText"/>
        <w:rPr>
          <w:lang w:val="sk-SK"/>
        </w:rPr>
      </w:pPr>
      <w:r w:rsidRPr="003E6EC4">
        <w:rPr>
          <w:rStyle w:val="FootnoteReference"/>
          <w:lang w:val="sk-SK"/>
        </w:rPr>
        <w:footnoteRef/>
      </w:r>
      <w:r w:rsidRPr="003E6EC4">
        <w:rPr>
          <w:lang w:val="sk-SK"/>
        </w:rPr>
        <w:t xml:space="preserve"> ELGPN Tools No. 6: Guidelines for Policies and Systems Development for Lifelong Guidance, </w:t>
      </w:r>
      <w:hyperlink r:id="rId1" w:history="1">
        <w:r w:rsidRPr="003E6EC4">
          <w:rPr>
            <w:rStyle w:val="Hyperlink"/>
            <w:lang w:val="sk-SK"/>
          </w:rPr>
          <w:t>http://www.elgpn.eu/publications/elgpn-tools-no-6-guidelines-for-policies-and-systems-development-for-lifelong-guidance</w:t>
        </w:r>
      </w:hyperlink>
      <w:r w:rsidRPr="003E6EC4">
        <w:rPr>
          <w:lang w:val="sk-SK"/>
        </w:rPr>
        <w:t>.</w:t>
      </w:r>
    </w:p>
  </w:footnote>
  <w:footnote w:id="11">
    <w:p w14:paraId="0CADAAF0" w14:textId="77777777" w:rsidR="00B168AA" w:rsidRPr="00611189" w:rsidRDefault="00B168AA" w:rsidP="00C03341">
      <w:pPr>
        <w:pStyle w:val="FootnoteText"/>
        <w:jc w:val="both"/>
        <w:rPr>
          <w:lang w:val="sk-SK"/>
        </w:rPr>
      </w:pPr>
      <w:r>
        <w:rPr>
          <w:rStyle w:val="FootnoteReference"/>
        </w:rPr>
        <w:footnoteRef/>
      </w:r>
      <w:r w:rsidRPr="00611189">
        <w:rPr>
          <w:lang w:val="sk-SK"/>
        </w:rPr>
        <w:t xml:space="preserve"> </w:t>
      </w:r>
      <w:r>
        <w:rPr>
          <w:lang w:val="sk-SK"/>
        </w:rPr>
        <w:t>V Anglicku majú analogické služby názov„Národné kariérové služby“ („National Career Services“), vo Francúzsku „Poradenstvo pre profesijný rozvoj“ („Conseil en Evolution Professionnelle“).</w:t>
      </w:r>
    </w:p>
  </w:footnote>
  <w:footnote w:id="12">
    <w:p w14:paraId="0CADAAF1" w14:textId="77777777" w:rsidR="00B168AA" w:rsidRPr="006D7BFF" w:rsidRDefault="00B168AA" w:rsidP="00C03341">
      <w:pPr>
        <w:pStyle w:val="FootnoteText"/>
        <w:jc w:val="both"/>
        <w:rPr>
          <w:lang w:val="sk-SK"/>
        </w:rPr>
      </w:pPr>
      <w:r>
        <w:rPr>
          <w:rStyle w:val="FootnoteReference"/>
        </w:rPr>
        <w:footnoteRef/>
      </w:r>
      <w:r w:rsidRPr="0084074A">
        <w:rPr>
          <w:lang w:val="sk-SK"/>
        </w:rPr>
        <w:t xml:space="preserve"> </w:t>
      </w:r>
      <w:r>
        <w:rPr>
          <w:lang w:val="sk-SK"/>
        </w:rPr>
        <w:t xml:space="preserve">Napr. pri hrubej </w:t>
      </w:r>
      <w:r w:rsidRPr="0084074A">
        <w:rPr>
          <w:lang w:val="sk-SK"/>
        </w:rPr>
        <w:t>mzd</w:t>
      </w:r>
      <w:r>
        <w:rPr>
          <w:lang w:val="sk-SK"/>
        </w:rPr>
        <w:t>e kariérového poradcu 1000</w:t>
      </w:r>
      <w:r w:rsidRPr="0084074A">
        <w:rPr>
          <w:lang w:val="sk-SK"/>
        </w:rPr>
        <w:t>€</w:t>
      </w:r>
      <w:r>
        <w:rPr>
          <w:lang w:val="sk-SK"/>
        </w:rPr>
        <w:t xml:space="preserve"> a pri zamestnaní 46 poradcov v pilotnej fáze (</w:t>
      </w:r>
      <w:r w:rsidRPr="0084074A">
        <w:rPr>
          <w:lang w:val="sk-SK"/>
        </w:rPr>
        <w:t xml:space="preserve">1 na každom </w:t>
      </w:r>
      <w:r>
        <w:rPr>
          <w:lang w:val="sk-SK"/>
        </w:rPr>
        <w:t>úrade práce, sociálnych vecí a rodiny</w:t>
      </w:r>
      <w:r w:rsidRPr="0084074A">
        <w:rPr>
          <w:lang w:val="sk-SK"/>
        </w:rPr>
        <w:t>)</w:t>
      </w:r>
      <w:r>
        <w:rPr>
          <w:lang w:val="sk-SK"/>
        </w:rPr>
        <w:t xml:space="preserve"> by celkové priame ročné náklady činili 850 000</w:t>
      </w:r>
      <w:r w:rsidRPr="004B096C">
        <w:rPr>
          <w:lang w:val="sk-SK"/>
        </w:rPr>
        <w:t>€</w:t>
      </w:r>
      <w:r>
        <w:rPr>
          <w:lang w:val="sk-SK"/>
        </w:rPr>
        <w:t xml:space="preserve"> (</w:t>
      </w:r>
      <w:r w:rsidRPr="0084074A">
        <w:rPr>
          <w:lang w:val="sk-SK"/>
        </w:rPr>
        <w:t>1</w:t>
      </w:r>
      <w:r>
        <w:rPr>
          <w:lang w:val="sk-SK"/>
        </w:rPr>
        <w:t>3</w:t>
      </w:r>
      <w:r w:rsidRPr="0084074A">
        <w:rPr>
          <w:lang w:val="sk-SK"/>
        </w:rPr>
        <w:t>5</w:t>
      </w:r>
      <w:r>
        <w:rPr>
          <w:lang w:val="sk-SK"/>
        </w:rPr>
        <w:t>2</w:t>
      </w:r>
      <w:r w:rsidRPr="0084074A">
        <w:rPr>
          <w:lang w:val="sk-SK"/>
        </w:rPr>
        <w:t xml:space="preserve">€ </w:t>
      </w:r>
      <w:r>
        <w:rPr>
          <w:lang w:val="sk-SK"/>
        </w:rPr>
        <w:t xml:space="preserve">mesačná celková cena práce </w:t>
      </w:r>
      <w:r w:rsidRPr="0084074A">
        <w:rPr>
          <w:lang w:val="sk-SK"/>
        </w:rPr>
        <w:t xml:space="preserve">x 12 </w:t>
      </w:r>
      <w:r>
        <w:rPr>
          <w:lang w:val="sk-SK"/>
        </w:rPr>
        <w:t xml:space="preserve">mesiacov </w:t>
      </w:r>
      <w:r w:rsidRPr="0084074A">
        <w:rPr>
          <w:lang w:val="sk-SK"/>
        </w:rPr>
        <w:t xml:space="preserve">x 46 </w:t>
      </w:r>
      <w:r>
        <w:rPr>
          <w:lang w:val="sk-SK"/>
        </w:rPr>
        <w:t xml:space="preserve">poracov </w:t>
      </w:r>
      <w:r w:rsidRPr="004B096C">
        <w:rPr>
          <w:lang w:val="sk-SK"/>
        </w:rPr>
        <w:t>+</w:t>
      </w:r>
      <w:r>
        <w:rPr>
          <w:lang w:val="sk-SK"/>
        </w:rPr>
        <w:t xml:space="preserve"> 15% prevádzkové náklady. V prípade potreby prenájmu nových priestorov by celkový rozpočet podľa našich prepočtov stúpol o približne o 30%.</w:t>
      </w:r>
    </w:p>
  </w:footnote>
  <w:footnote w:id="13">
    <w:p w14:paraId="0CADAAF2" w14:textId="77777777" w:rsidR="00B168AA" w:rsidRPr="00797215" w:rsidRDefault="00B168AA" w:rsidP="00C03341">
      <w:pPr>
        <w:pStyle w:val="FootnoteText"/>
        <w:jc w:val="both"/>
        <w:rPr>
          <w:lang w:val="sk-SK"/>
        </w:rPr>
      </w:pPr>
      <w:r>
        <w:rPr>
          <w:rStyle w:val="FootnoteReference"/>
        </w:rPr>
        <w:footnoteRef/>
      </w:r>
      <w:r w:rsidRPr="00797215">
        <w:rPr>
          <w:lang w:val="sk-SK"/>
        </w:rPr>
        <w:t xml:space="preserve"> </w:t>
      </w:r>
      <w:r>
        <w:rPr>
          <w:lang w:val="sk-SK"/>
        </w:rPr>
        <w:t>V prípade, ak by kariérový poradca venoval polovicu svojho pracovného času priamemu poskytovaniu kariérového poradenstva klientom, dokáže ročne poskytnúť službu v rozsahu troch individuálnych hodinových stretnutí viac ako 300 klientom ročne, čo by pri 46 kariérových poradcoch predstavovalo celkovú ročnú kapacitu takejto siete približne 14 000 klientov. Druhá polovica pracovného času by bola využívaná na zabezpečovanie permanentnej telefonickej podpory, administratívneho riadenia a metodického rozvoja.</w:t>
      </w:r>
    </w:p>
  </w:footnote>
  <w:footnote w:id="14">
    <w:p w14:paraId="0CADAAF3" w14:textId="77777777" w:rsidR="00B168AA" w:rsidRPr="00A867E9" w:rsidRDefault="00B168AA" w:rsidP="00DA45FB">
      <w:pPr>
        <w:pStyle w:val="FootnoteText"/>
        <w:jc w:val="both"/>
        <w:rPr>
          <w:lang w:val="sk-SK"/>
        </w:rPr>
      </w:pPr>
      <w:r>
        <w:rPr>
          <w:rStyle w:val="FootnoteReference"/>
        </w:rPr>
        <w:footnoteRef/>
      </w:r>
      <w:r w:rsidRPr="00A867E9">
        <w:rPr>
          <w:lang w:val="sk-SK"/>
        </w:rPr>
        <w:t xml:space="preserve"> </w:t>
      </w:r>
      <w:r>
        <w:rPr>
          <w:lang w:val="sk-SK"/>
        </w:rPr>
        <w:t>Pozri akčný plán N</w:t>
      </w:r>
      <w:r w:rsidRPr="00A867E9">
        <w:rPr>
          <w:lang w:val="sk-SK"/>
        </w:rPr>
        <w:t>árodn</w:t>
      </w:r>
      <w:r>
        <w:rPr>
          <w:lang w:val="sk-SK"/>
        </w:rPr>
        <w:t>ého</w:t>
      </w:r>
      <w:r w:rsidRPr="00A867E9">
        <w:rPr>
          <w:lang w:val="sk-SK"/>
        </w:rPr>
        <w:t xml:space="preserve"> program</w:t>
      </w:r>
      <w:r>
        <w:rPr>
          <w:lang w:val="sk-SK"/>
        </w:rPr>
        <w:t>u</w:t>
      </w:r>
      <w:r w:rsidRPr="00A867E9">
        <w:rPr>
          <w:lang w:val="sk-SK"/>
        </w:rPr>
        <w:t xml:space="preserve"> rozvoja výchovy a</w:t>
      </w:r>
      <w:r>
        <w:rPr>
          <w:lang w:val="sk-SK"/>
        </w:rPr>
        <w:t> </w:t>
      </w:r>
      <w:r w:rsidRPr="00A867E9">
        <w:rPr>
          <w:lang w:val="sk-SK"/>
        </w:rPr>
        <w:t>vzdelávania</w:t>
      </w:r>
      <w:r>
        <w:rPr>
          <w:lang w:val="sk-SK"/>
        </w:rPr>
        <w:t>. Koordinované spustenie Národných kariérových služieb a individuálnych vzdelávacích účtov môže viesť k synergickým efektom a k zvýšenému a efektívnemu využívaniu obidvoch služieb zo strany občanov.</w:t>
      </w:r>
    </w:p>
  </w:footnote>
  <w:footnote w:id="15">
    <w:p w14:paraId="0CADAAF4" w14:textId="77777777" w:rsidR="00B168AA" w:rsidRPr="000C4DFA" w:rsidRDefault="00B168AA" w:rsidP="00AB0D1A">
      <w:pPr>
        <w:pStyle w:val="FootnoteText"/>
        <w:jc w:val="both"/>
        <w:rPr>
          <w:lang w:val="sk-SK"/>
        </w:rPr>
      </w:pPr>
      <w:r>
        <w:rPr>
          <w:rStyle w:val="FootnoteReference"/>
        </w:rPr>
        <w:footnoteRef/>
      </w:r>
      <w:r w:rsidRPr="000C4DFA">
        <w:rPr>
          <w:lang w:val="sk-SK"/>
        </w:rPr>
        <w:t xml:space="preserve"> </w:t>
      </w:r>
      <w:r>
        <w:rPr>
          <w:lang w:val="sk-SK"/>
        </w:rPr>
        <w:t xml:space="preserve">Vo variante A je formou výplat kariérových poradcov paušálne financovaný systém s ročnou kapacitou minimálne 14 000 individuálnych klientov. </w:t>
      </w:r>
      <w:r w:rsidRPr="000666F4">
        <w:rPr>
          <w:lang w:val="sk-SK"/>
        </w:rPr>
        <w:t>Pri zachovaní rovnakých finančných parametrov z variantu A (ročná maximálna kapacita a ročný rozpočet) by mala priemerná výška odmeny pre dodávateľa dosahovať úroveň približne 60€ za jedného klienta. Túto sumu ale nepovažujeme za dostatočne motivačnú sumu pre zapojenie dodávateľov a regulácia na základe dopytu vytvára priestor pre jej navýšenie.</w:t>
      </w:r>
      <w:r>
        <w:rPr>
          <w:lang w:val="sk-SK"/>
        </w:rPr>
        <w:t xml:space="preserve"> Je možné uvažovať o nastavení priemernej výšky platby pre dodávateľa vo výške 100€ pre priemerné trvanie služby 3 hodiny.</w:t>
      </w:r>
    </w:p>
  </w:footnote>
  <w:footnote w:id="16">
    <w:p w14:paraId="0CADAAF5" w14:textId="644C3755" w:rsidR="00B168AA" w:rsidRPr="001B5578" w:rsidRDefault="00B168AA" w:rsidP="00217425">
      <w:pPr>
        <w:pStyle w:val="FootnoteText"/>
        <w:jc w:val="both"/>
        <w:rPr>
          <w:lang w:val="sk-SK"/>
        </w:rPr>
      </w:pPr>
      <w:r>
        <w:rPr>
          <w:rStyle w:val="FootnoteReference"/>
        </w:rPr>
        <w:footnoteRef/>
      </w:r>
      <w:r w:rsidRPr="001B5578">
        <w:rPr>
          <w:lang w:val="sk-SK"/>
        </w:rPr>
        <w:t xml:space="preserve"> </w:t>
      </w:r>
      <w:r>
        <w:rPr>
          <w:lang w:val="sk-SK"/>
        </w:rPr>
        <w:t xml:space="preserve">Okrem nákladovej efektivity je cieľom takéhoto nastavenia zabezpečiť, aby poskytovanie Národných kariérových služieb nebolo jedinou aktivitou dodávateľa, ale aby boli do systému pritiahnutí stabilní dodávatelia s expertízou aj v iných príbuzných oblastiach. V anglickom systéme National career services sú finančné odmeny pre znevýhodnených klientov nastavené nasledovne: 1. úroveň - </w:t>
      </w:r>
      <w:r w:rsidRPr="00771EC0">
        <w:rPr>
          <w:lang w:val="sk-SK"/>
        </w:rPr>
        <w:t>45£</w:t>
      </w:r>
      <w:r>
        <w:rPr>
          <w:lang w:val="sk-SK"/>
        </w:rPr>
        <w:t>, 2. úroveň 40</w:t>
      </w:r>
      <w:r w:rsidRPr="00771EC0">
        <w:rPr>
          <w:lang w:val="sk-SK"/>
        </w:rPr>
        <w:t>£</w:t>
      </w:r>
      <w:r>
        <w:rPr>
          <w:lang w:val="sk-SK"/>
        </w:rPr>
        <w:t>, 3. úroveň 65</w:t>
      </w:r>
      <w:r w:rsidRPr="00771EC0">
        <w:rPr>
          <w:lang w:val="sk-SK"/>
        </w:rPr>
        <w:t>£</w:t>
      </w:r>
      <w:r>
        <w:rPr>
          <w:lang w:val="sk-SK"/>
        </w:rPr>
        <w:t>. Pri klientovi bez znevýhodnenia sa odmena pohybuje v rozpätí 10-20</w:t>
      </w:r>
      <w:r w:rsidRPr="00771EC0">
        <w:rPr>
          <w:lang w:val="sk-SK"/>
        </w:rPr>
        <w:t>£</w:t>
      </w:r>
      <w:r>
        <w:rPr>
          <w:lang w:val="sk-SK"/>
        </w:rPr>
        <w:t xml:space="preserve"> za každú dosiahnutú úroveň výsledkov.</w:t>
      </w:r>
    </w:p>
  </w:footnote>
  <w:footnote w:id="17">
    <w:p w14:paraId="0CADAAF6" w14:textId="77777777" w:rsidR="00B168AA" w:rsidRPr="00045E20" w:rsidRDefault="00B168AA" w:rsidP="00DA45FB">
      <w:pPr>
        <w:pStyle w:val="FootnoteText"/>
        <w:jc w:val="both"/>
        <w:rPr>
          <w:lang w:val="sk-SK"/>
        </w:rPr>
      </w:pPr>
      <w:r>
        <w:rPr>
          <w:rStyle w:val="FootnoteReference"/>
        </w:rPr>
        <w:footnoteRef/>
      </w:r>
      <w:r w:rsidRPr="00045E20">
        <w:rPr>
          <w:lang w:val="sk-SK"/>
        </w:rPr>
        <w:t xml:space="preserve"> </w:t>
      </w:r>
      <w:r>
        <w:rPr>
          <w:lang w:val="sk-SK"/>
        </w:rPr>
        <w:t>Uvedený model je aplikovaný vo viacerých krajinách, pozri napr. britský systém „LMI for All“, z ktorého čerpajú desiatky aplikácií využívaných v kariérovom poradenstve v rôznych oblastiach pôsobnosti (</w:t>
      </w:r>
      <w:hyperlink r:id="rId2" w:history="1">
        <w:r w:rsidRPr="00353CC7">
          <w:rPr>
            <w:rStyle w:val="Hyperlink"/>
            <w:lang w:val="sk-SK"/>
          </w:rPr>
          <w:t>http://www.lmiforall.org.uk/</w:t>
        </w:r>
      </w:hyperlink>
      <w:r>
        <w:rPr>
          <w:lang w:val="sk-SK"/>
        </w:rPr>
        <w:t>). V tomto prípade sa jedná o dôslednú aplikáciu</w:t>
      </w:r>
      <w:r w:rsidRPr="00454D6D">
        <w:rPr>
          <w:lang w:val="sk-SK"/>
        </w:rPr>
        <w:t xml:space="preserve"> </w:t>
      </w:r>
      <w:r>
        <w:rPr>
          <w:lang w:val="sk-SK"/>
        </w:rPr>
        <w:t xml:space="preserve">princípu </w:t>
      </w:r>
      <w:r w:rsidRPr="000200E3">
        <w:rPr>
          <w:lang w:val="sk-SK"/>
        </w:rPr>
        <w:t>poskyt</w:t>
      </w:r>
      <w:r>
        <w:rPr>
          <w:lang w:val="sk-SK"/>
        </w:rPr>
        <w:t>ovania</w:t>
      </w:r>
      <w:r w:rsidRPr="000200E3">
        <w:rPr>
          <w:lang w:val="sk-SK"/>
        </w:rPr>
        <w:t xml:space="preserve"> otvoren</w:t>
      </w:r>
      <w:r>
        <w:rPr>
          <w:lang w:val="sk-SK"/>
        </w:rPr>
        <w:t>ých</w:t>
      </w:r>
      <w:r w:rsidRPr="000200E3">
        <w:rPr>
          <w:lang w:val="sk-SK"/>
        </w:rPr>
        <w:t xml:space="preserve"> údaj</w:t>
      </w:r>
      <w:r>
        <w:rPr>
          <w:lang w:val="sk-SK"/>
        </w:rPr>
        <w:t>ov</w:t>
      </w:r>
      <w:r w:rsidRPr="000200E3">
        <w:rPr>
          <w:lang w:val="sk-SK"/>
        </w:rPr>
        <w:t xml:space="preserve"> v maximálnom rozsahu</w:t>
      </w:r>
      <w:r>
        <w:rPr>
          <w:lang w:val="sk-SK"/>
        </w:rPr>
        <w:t xml:space="preserve"> </w:t>
      </w:r>
      <w:r w:rsidRPr="00454D6D">
        <w:rPr>
          <w:lang w:val="sk-SK"/>
        </w:rPr>
        <w:t>Národn</w:t>
      </w:r>
      <w:r>
        <w:rPr>
          <w:lang w:val="sk-SK"/>
        </w:rPr>
        <w:t>ej</w:t>
      </w:r>
      <w:r w:rsidRPr="00454D6D">
        <w:rPr>
          <w:lang w:val="sk-SK"/>
        </w:rPr>
        <w:t xml:space="preserve"> koncepci</w:t>
      </w:r>
      <w:r>
        <w:rPr>
          <w:lang w:val="sk-SK"/>
        </w:rPr>
        <w:t>e</w:t>
      </w:r>
      <w:r w:rsidRPr="00454D6D">
        <w:rPr>
          <w:lang w:val="sk-SK"/>
        </w:rPr>
        <w:t xml:space="preserve"> informatizácie verejnej správy Slovenskej republiky</w:t>
      </w:r>
      <w:r>
        <w:rPr>
          <w:lang w:val="sk-SK"/>
        </w:rPr>
        <w:t xml:space="preserve"> aj pre oblasť kariérových informácií.</w:t>
      </w:r>
    </w:p>
  </w:footnote>
  <w:footnote w:id="18">
    <w:p w14:paraId="0CADAAF7" w14:textId="77777777" w:rsidR="00B168AA" w:rsidRPr="007D7745" w:rsidRDefault="00B168AA" w:rsidP="00DA45FB">
      <w:pPr>
        <w:pStyle w:val="FootnoteText"/>
        <w:jc w:val="both"/>
        <w:rPr>
          <w:lang w:val="sk-SK"/>
        </w:rPr>
      </w:pPr>
      <w:r>
        <w:rPr>
          <w:rStyle w:val="FootnoteReference"/>
        </w:rPr>
        <w:footnoteRef/>
      </w:r>
      <w:r>
        <w:t xml:space="preserve"> </w:t>
      </w:r>
      <w:proofErr w:type="spellStart"/>
      <w:r w:rsidRPr="007D7745">
        <w:t>Vigurs</w:t>
      </w:r>
      <w:proofErr w:type="spellEnd"/>
      <w:r w:rsidRPr="007D7745">
        <w:t xml:space="preserve">, K. </w:t>
      </w:r>
      <w:proofErr w:type="spellStart"/>
      <w:r w:rsidRPr="007D7745">
        <w:t>Everitt</w:t>
      </w:r>
      <w:proofErr w:type="spellEnd"/>
      <w:r w:rsidRPr="007D7745">
        <w:t>, J. and Staunton, T. (2017). The evidence base for careers websites. What works? London: The Careers &amp; Enterprise Company.</w:t>
      </w:r>
    </w:p>
  </w:footnote>
  <w:footnote w:id="19">
    <w:p w14:paraId="0CADAAF8" w14:textId="77777777" w:rsidR="00B168AA" w:rsidRPr="00C00393" w:rsidRDefault="00B168AA">
      <w:pPr>
        <w:pStyle w:val="FootnoteText"/>
        <w:rPr>
          <w:lang w:val="sk-SK"/>
        </w:rPr>
      </w:pPr>
      <w:r>
        <w:rPr>
          <w:rStyle w:val="FootnoteReference"/>
        </w:rPr>
        <w:footnoteRef/>
      </w:r>
      <w:r w:rsidRPr="00C00393">
        <w:rPr>
          <w:lang w:val="sk-SK"/>
        </w:rPr>
        <w:t xml:space="preserve"> </w:t>
      </w:r>
      <w:r>
        <w:rPr>
          <w:lang w:val="sk-SK"/>
        </w:rPr>
        <w:t>Z hľadiska úrovne rozpracovanosti sa ako najvhodnejší kandidát javí portál ISTP.sk.</w:t>
      </w:r>
    </w:p>
  </w:footnote>
  <w:footnote w:id="20">
    <w:p w14:paraId="0CADAAF9" w14:textId="77777777" w:rsidR="00B168AA" w:rsidRPr="003E6EC4" w:rsidRDefault="00B168AA" w:rsidP="00DA45FB">
      <w:pPr>
        <w:pStyle w:val="FootnoteText"/>
        <w:jc w:val="both"/>
        <w:rPr>
          <w:lang w:val="sk-SK"/>
        </w:rPr>
      </w:pPr>
      <w:r w:rsidRPr="003E6EC4">
        <w:rPr>
          <w:rStyle w:val="FootnoteReference"/>
          <w:lang w:val="sk-SK"/>
        </w:rPr>
        <w:footnoteRef/>
      </w:r>
      <w:r w:rsidRPr="003E6EC4">
        <w:rPr>
          <w:lang w:val="sk-SK"/>
        </w:rPr>
        <w:t xml:space="preserve"> </w:t>
      </w:r>
      <w:r>
        <w:rPr>
          <w:lang w:val="sk-SK"/>
        </w:rPr>
        <w:t xml:space="preserve">Pozri </w:t>
      </w:r>
      <w:hyperlink r:id="rId3" w:history="1">
        <w:r w:rsidRPr="00DF1423">
          <w:rPr>
            <w:rStyle w:val="Hyperlink"/>
            <w:lang w:val="sk-SK"/>
          </w:rPr>
          <w:t>http://web.saaic.sk/nrcg_new/.%5Ckniznica%5C2013%5CCMS_v_sektore_vzdelavania_eBook.pdf</w:t>
        </w:r>
      </w:hyperlink>
      <w:r>
        <w:rPr>
          <w:lang w:val="sk-SK"/>
        </w:rPr>
        <w:t xml:space="preserve"> Medzi</w:t>
      </w:r>
      <w:r w:rsidRPr="00463E87">
        <w:rPr>
          <w:lang w:val="sk-SK"/>
        </w:rPr>
        <w:t xml:space="preserve"> </w:t>
      </w:r>
      <w:r>
        <w:rPr>
          <w:lang w:val="sk-SK"/>
        </w:rPr>
        <w:t>tieto zručnosti patrí</w:t>
      </w:r>
      <w:r w:rsidRPr="00463E87">
        <w:rPr>
          <w:lang w:val="sk-SK"/>
        </w:rPr>
        <w:t xml:space="preserve"> napr. schopnosť poznať a pomenovať vlastné kompetencie, osobnostné predpoklady, hodnoty a záujmy, schopnosť plánovať a reagovať na zmeny, schopnosť nadväzovať kontakty a rozvíjať vzťahy, schopnosť spracovávať informácie a rozhodovať sa, ale aj konkrétne zručnosti ako písanie životopisu a zvládnutie pracovného pohovoru.</w:t>
      </w:r>
    </w:p>
  </w:footnote>
  <w:footnote w:id="21">
    <w:p w14:paraId="0CADAAFA" w14:textId="77777777" w:rsidR="00B168AA" w:rsidRPr="003E6EC4" w:rsidRDefault="00B168AA" w:rsidP="001F68B1">
      <w:pPr>
        <w:pStyle w:val="FootnoteText"/>
        <w:jc w:val="both"/>
        <w:rPr>
          <w:lang w:val="sk-SK"/>
        </w:rPr>
      </w:pPr>
      <w:r w:rsidRPr="003E6EC4">
        <w:rPr>
          <w:rStyle w:val="FootnoteReference"/>
          <w:lang w:val="sk-SK"/>
        </w:rPr>
        <w:footnoteRef/>
      </w:r>
      <w:r w:rsidRPr="003E6EC4">
        <w:rPr>
          <w:lang w:val="sk-SK"/>
        </w:rPr>
        <w:t xml:space="preserve"> Pozri napr. </w:t>
      </w:r>
      <w:hyperlink r:id="rId4" w:history="1">
        <w:r w:rsidRPr="003E6EC4">
          <w:rPr>
            <w:rStyle w:val="Hyperlink"/>
            <w:lang w:val="sk-SK"/>
          </w:rPr>
          <w:t>https://rozvojkariery.sk/50-odtienov-kvality-anglicky-standard-matrix-limity-certifikovania-individualnych-poradcov/</w:t>
        </w:r>
      </w:hyperlink>
    </w:p>
  </w:footnote>
  <w:footnote w:id="22">
    <w:p w14:paraId="0CADAAFB" w14:textId="04EC4BD6" w:rsidR="00B168AA" w:rsidRPr="00E806DA" w:rsidRDefault="00B168AA" w:rsidP="001F68B1">
      <w:pPr>
        <w:pStyle w:val="FootnoteText"/>
        <w:jc w:val="both"/>
        <w:rPr>
          <w:lang w:val="sk-SK"/>
        </w:rPr>
      </w:pPr>
      <w:r>
        <w:rPr>
          <w:rStyle w:val="FootnoteReference"/>
        </w:rPr>
        <w:footnoteRef/>
      </w:r>
      <w:r w:rsidRPr="00E806DA">
        <w:rPr>
          <w:lang w:val="sk-SK"/>
        </w:rPr>
        <w:t xml:space="preserve"> </w:t>
      </w:r>
      <w:r>
        <w:rPr>
          <w:lang w:val="sk-SK"/>
        </w:rPr>
        <w:t xml:space="preserve">Skúsenosť z viacerých krajín ukazuje, že napriek veľkej heterogenite praktík kariérového poradenstva je možné aplikovanie jednotného štandardu, pokiaľ bude zameraný na základné princípy riadenia kvality (jasné definovanie želaných výsledky, adekvátnosť zvolených prostriedkov pre ich dosiahnutie, monitorovanie výsledkov a neustále zlepšovanie) a nie na procedurálne osobitosti (pozri napr. anglický štandard Matrix, </w:t>
      </w:r>
      <w:hyperlink r:id="rId5" w:history="1">
        <w:r w:rsidR="007C5709" w:rsidRPr="00FF7644">
          <w:rPr>
            <w:rStyle w:val="Hyperlink"/>
            <w:lang w:val="sk-SK"/>
          </w:rPr>
          <w:t>http://matrixstandard.com/</w:t>
        </w:r>
      </w:hyperlink>
      <w:r>
        <w:rPr>
          <w:lang w:val="sk-SK"/>
        </w:rPr>
        <w:t xml:space="preserve">). </w:t>
      </w:r>
    </w:p>
  </w:footnote>
  <w:footnote w:id="23">
    <w:p w14:paraId="130AE92A" w14:textId="3975985C" w:rsidR="000D1AB5" w:rsidRPr="000D1AB5" w:rsidRDefault="000D1AB5" w:rsidP="001F68B1">
      <w:pPr>
        <w:pStyle w:val="FootnoteText"/>
        <w:jc w:val="both"/>
        <w:rPr>
          <w:lang w:val="sk-SK"/>
        </w:rPr>
      </w:pPr>
      <w:r>
        <w:rPr>
          <w:rStyle w:val="FootnoteReference"/>
        </w:rPr>
        <w:footnoteRef/>
      </w:r>
      <w:r w:rsidRPr="000D1AB5">
        <w:rPr>
          <w:lang w:val="sk-SK"/>
        </w:rPr>
        <w:t xml:space="preserve"> Zoznam </w:t>
      </w:r>
      <w:r w:rsidR="00FD284A">
        <w:rPr>
          <w:lang w:val="sk-SK"/>
        </w:rPr>
        <w:t xml:space="preserve">nie je úplný a </w:t>
      </w:r>
      <w:r w:rsidRPr="000D1AB5">
        <w:rPr>
          <w:lang w:val="sk-SK"/>
        </w:rPr>
        <w:t xml:space="preserve">vychádza z analýzy </w:t>
      </w:r>
      <w:r w:rsidR="00FD284A">
        <w:rPr>
          <w:lang w:val="sk-SK"/>
        </w:rPr>
        <w:t xml:space="preserve">24 medzinárodných systémov riadenia kvality </w:t>
      </w:r>
      <w:r w:rsidR="00952371">
        <w:rPr>
          <w:lang w:val="sk-SK"/>
        </w:rPr>
        <w:t xml:space="preserve">v krajinách EU. Prieskum bol realizovaný Medzinárodným centrom štúdium kariérového poradenstva </w:t>
      </w:r>
      <w:r w:rsidR="001F68B1">
        <w:rPr>
          <w:lang w:val="sk-SK"/>
        </w:rPr>
        <w:t>(</w:t>
      </w:r>
      <w:r w:rsidR="001F68B1">
        <w:rPr>
          <w:i/>
          <w:lang w:val="sk-SK"/>
        </w:rPr>
        <w:t xml:space="preserve">International Centre for Guidance </w:t>
      </w:r>
      <w:proofErr w:type="spellStart"/>
      <w:r w:rsidR="001F68B1">
        <w:rPr>
          <w:i/>
          <w:lang w:val="sk-SK"/>
        </w:rPr>
        <w:t>Studies</w:t>
      </w:r>
      <w:proofErr w:type="spellEnd"/>
      <w:r w:rsidR="001F68B1">
        <w:rPr>
          <w:i/>
          <w:lang w:val="sk-SK"/>
        </w:rPr>
        <w:t xml:space="preserve">) </w:t>
      </w:r>
      <w:r w:rsidR="001F68B1">
        <w:rPr>
          <w:lang w:val="sk-SK"/>
        </w:rPr>
        <w:t xml:space="preserve">Univerzity v Derby </w:t>
      </w:r>
      <w:r w:rsidR="00952371">
        <w:rPr>
          <w:lang w:val="sk-SK"/>
        </w:rPr>
        <w:t>pre Združenie pre kariérové poradenstvo a rozvoj kariéry (</w:t>
      </w:r>
      <w:r w:rsidR="001F68B1">
        <w:rPr>
          <w:lang w:val="sk-SK"/>
        </w:rPr>
        <w:t xml:space="preserve">materiály sú dostupné na stránke </w:t>
      </w:r>
      <w:hyperlink r:id="rId6" w:history="1">
        <w:r w:rsidR="001F68B1" w:rsidRPr="00FF7644">
          <w:rPr>
            <w:rStyle w:val="Hyperlink"/>
            <w:lang w:val="sk-SK"/>
          </w:rPr>
          <w:t>http://guidancequality.eu</w:t>
        </w:r>
      </w:hyperlink>
      <w:r w:rsidR="001F68B1">
        <w:rPr>
          <w:lang w:val="sk-SK"/>
        </w:rPr>
        <w:t>)</w:t>
      </w:r>
    </w:p>
  </w:footnote>
  <w:footnote w:id="24">
    <w:p w14:paraId="0170A6EA" w14:textId="3CCA2618" w:rsidR="006519FD" w:rsidRPr="009B35EA" w:rsidRDefault="00B168AA" w:rsidP="00DA45FB">
      <w:pPr>
        <w:pStyle w:val="FootnoteText"/>
        <w:jc w:val="both"/>
        <w:rPr>
          <w:lang w:val="sk-SK"/>
        </w:rPr>
      </w:pPr>
      <w:r>
        <w:rPr>
          <w:rStyle w:val="FootnoteReference"/>
        </w:rPr>
        <w:footnoteRef/>
      </w:r>
      <w:r w:rsidRPr="003B5484">
        <w:rPr>
          <w:lang w:val="sk-SK"/>
        </w:rPr>
        <w:t xml:space="preserve"> </w:t>
      </w:r>
      <w:r w:rsidR="00261727">
        <w:rPr>
          <w:lang w:val="sk-SK"/>
        </w:rPr>
        <w:t>Pozri aj ďalšie k</w:t>
      </w:r>
      <w:r w:rsidRPr="003B5484">
        <w:rPr>
          <w:lang w:val="sk-SK"/>
        </w:rPr>
        <w:t>onkrétne odporúčania pre vytvorenie a fungovanie národného poradenského f</w:t>
      </w:r>
      <w:r w:rsidR="00261727">
        <w:rPr>
          <w:lang w:val="sk-SK"/>
        </w:rPr>
        <w:t>ó</w:t>
      </w:r>
      <w:r w:rsidRPr="003B5484">
        <w:rPr>
          <w:lang w:val="sk-SK"/>
        </w:rPr>
        <w:t>ra</w:t>
      </w:r>
      <w:r w:rsidR="00261727">
        <w:rPr>
          <w:lang w:val="sk-SK"/>
        </w:rPr>
        <w:t>:</w:t>
      </w:r>
      <w:r w:rsidRPr="003B5484">
        <w:rPr>
          <w:lang w:val="sk-SK"/>
        </w:rPr>
        <w:t xml:space="preserve"> </w:t>
      </w:r>
      <w:r>
        <w:t xml:space="preserve">Establishing and developing national lifelong guidance policy forums  A manual for policy-makers and stakeholders </w:t>
      </w:r>
      <w:proofErr w:type="spellStart"/>
      <w:r>
        <w:t>Cedefop</w:t>
      </w:r>
      <w:proofErr w:type="spellEnd"/>
      <w:r>
        <w:t xml:space="preserve"> Panorama series; 153 Luxembourg: Office for Official Publications of the European Communities, 2008. </w:t>
      </w:r>
      <w:hyperlink r:id="rId7" w:history="1">
        <w:r w:rsidR="006519FD" w:rsidRPr="00432080">
          <w:rPr>
            <w:rStyle w:val="Hyperlink"/>
            <w:lang w:val="fr-FR"/>
          </w:rPr>
          <w:t>http://www.cedefop.europa.eu/files/5188_en.pdf</w:t>
        </w:r>
      </w:hyperlink>
    </w:p>
  </w:footnote>
  <w:footnote w:id="25">
    <w:p w14:paraId="56FCC99C" w14:textId="781D66C1" w:rsidR="004534EE" w:rsidRPr="004534EE" w:rsidRDefault="004534EE">
      <w:pPr>
        <w:pStyle w:val="FootnoteText"/>
        <w:rPr>
          <w:lang w:val="sk-SK"/>
        </w:rPr>
      </w:pPr>
      <w:r>
        <w:rPr>
          <w:rStyle w:val="FootnoteReference"/>
        </w:rPr>
        <w:footnoteRef/>
      </w:r>
      <w:r w:rsidRPr="004534EE">
        <w:rPr>
          <w:lang w:val="fr-FR"/>
        </w:rPr>
        <w:t xml:space="preserve"> </w:t>
      </w:r>
      <w:r>
        <w:rPr>
          <w:lang w:val="sk-SK"/>
        </w:rPr>
        <w:t xml:space="preserve">Pozri </w:t>
      </w:r>
      <w:hyperlink r:id="rId8" w:history="1">
        <w:r w:rsidRPr="00FF7644">
          <w:rPr>
            <w:rStyle w:val="Hyperlink"/>
            <w:lang w:val="sk-SK"/>
          </w:rPr>
          <w:t>http://nuczv.wz.cz/wp-content/uploads/statut-narodneho-fora-pre-celozivotne-poradenstvo-1.pdf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A65"/>
    <w:multiLevelType w:val="hybridMultilevel"/>
    <w:tmpl w:val="BC14C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5E95"/>
    <w:multiLevelType w:val="hybridMultilevel"/>
    <w:tmpl w:val="59126D9E"/>
    <w:lvl w:ilvl="0" w:tplc="54CED23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EA6175"/>
    <w:multiLevelType w:val="hybridMultilevel"/>
    <w:tmpl w:val="29E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2A23"/>
    <w:multiLevelType w:val="hybridMultilevel"/>
    <w:tmpl w:val="39083D62"/>
    <w:lvl w:ilvl="0" w:tplc="DA4A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3241"/>
    <w:multiLevelType w:val="hybridMultilevel"/>
    <w:tmpl w:val="6CBA9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57665"/>
    <w:multiLevelType w:val="hybridMultilevel"/>
    <w:tmpl w:val="900C92A4"/>
    <w:lvl w:ilvl="0" w:tplc="651EC04A">
      <w:start w:val="1"/>
      <w:numFmt w:val="upperRoman"/>
      <w:lvlText w:val="%1."/>
      <w:lvlJc w:val="left"/>
      <w:pPr>
        <w:ind w:left="833" w:hanging="720"/>
      </w:pPr>
      <w:rPr>
        <w:rFonts w:hint="default"/>
      </w:rPr>
    </w:lvl>
    <w:lvl w:ilvl="1" w:tplc="041B0019" w:tentative="1">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6" w15:restartNumberingAfterBreak="0">
    <w:nsid w:val="333B1F0C"/>
    <w:multiLevelType w:val="hybridMultilevel"/>
    <w:tmpl w:val="FBA804D6"/>
    <w:lvl w:ilvl="0" w:tplc="14541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01A87"/>
    <w:multiLevelType w:val="hybridMultilevel"/>
    <w:tmpl w:val="FE8A7C34"/>
    <w:lvl w:ilvl="0" w:tplc="D54A25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B1453"/>
    <w:multiLevelType w:val="multilevel"/>
    <w:tmpl w:val="BA4ED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4F0258"/>
    <w:multiLevelType w:val="hybridMultilevel"/>
    <w:tmpl w:val="1AF4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35772"/>
    <w:multiLevelType w:val="hybridMultilevel"/>
    <w:tmpl w:val="A94A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E65C6"/>
    <w:multiLevelType w:val="hybridMultilevel"/>
    <w:tmpl w:val="2EBE7C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ED0185"/>
    <w:multiLevelType w:val="hybridMultilevel"/>
    <w:tmpl w:val="A372D506"/>
    <w:lvl w:ilvl="0" w:tplc="82E6213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165BAD"/>
    <w:multiLevelType w:val="hybridMultilevel"/>
    <w:tmpl w:val="21FE66A4"/>
    <w:lvl w:ilvl="0" w:tplc="ADF04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50EA7"/>
    <w:multiLevelType w:val="hybridMultilevel"/>
    <w:tmpl w:val="03A8C564"/>
    <w:lvl w:ilvl="0" w:tplc="D480B24E">
      <w:start w:val="1"/>
      <w:numFmt w:val="upperRoman"/>
      <w:lvlText w:val="%1."/>
      <w:lvlJc w:val="left"/>
      <w:pPr>
        <w:ind w:left="833" w:hanging="720"/>
      </w:pPr>
      <w:rPr>
        <w:rFonts w:hint="default"/>
      </w:rPr>
    </w:lvl>
    <w:lvl w:ilvl="1" w:tplc="041B0019" w:tentative="1">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15" w15:restartNumberingAfterBreak="0">
    <w:nsid w:val="53652212"/>
    <w:multiLevelType w:val="hybridMultilevel"/>
    <w:tmpl w:val="1CC877EA"/>
    <w:lvl w:ilvl="0" w:tplc="6F28CE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BF48C9"/>
    <w:multiLevelType w:val="multilevel"/>
    <w:tmpl w:val="1176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243B1"/>
    <w:multiLevelType w:val="hybridMultilevel"/>
    <w:tmpl w:val="BFCA52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0318BC"/>
    <w:multiLevelType w:val="hybridMultilevel"/>
    <w:tmpl w:val="197A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97208"/>
    <w:multiLevelType w:val="hybridMultilevel"/>
    <w:tmpl w:val="F2AA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6295E"/>
    <w:multiLevelType w:val="hybridMultilevel"/>
    <w:tmpl w:val="390AAF7A"/>
    <w:lvl w:ilvl="0" w:tplc="69543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803D8"/>
    <w:multiLevelType w:val="hybridMultilevel"/>
    <w:tmpl w:val="DA12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33C40"/>
    <w:multiLevelType w:val="hybridMultilevel"/>
    <w:tmpl w:val="0EFE692E"/>
    <w:lvl w:ilvl="0" w:tplc="9F38D42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E51F2A"/>
    <w:multiLevelType w:val="hybridMultilevel"/>
    <w:tmpl w:val="97949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061AA"/>
    <w:multiLevelType w:val="hybridMultilevel"/>
    <w:tmpl w:val="C1A2FE86"/>
    <w:lvl w:ilvl="0" w:tplc="4F98FED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2"/>
  </w:num>
  <w:num w:numId="4">
    <w:abstractNumId w:val="11"/>
  </w:num>
  <w:num w:numId="5">
    <w:abstractNumId w:val="17"/>
  </w:num>
  <w:num w:numId="6">
    <w:abstractNumId w:val="15"/>
  </w:num>
  <w:num w:numId="7">
    <w:abstractNumId w:val="16"/>
  </w:num>
  <w:num w:numId="8">
    <w:abstractNumId w:val="6"/>
  </w:num>
  <w:num w:numId="9">
    <w:abstractNumId w:val="18"/>
  </w:num>
  <w:num w:numId="10">
    <w:abstractNumId w:val="2"/>
  </w:num>
  <w:num w:numId="11">
    <w:abstractNumId w:val="1"/>
  </w:num>
  <w:num w:numId="12">
    <w:abstractNumId w:val="8"/>
  </w:num>
  <w:num w:numId="13">
    <w:abstractNumId w:val="21"/>
  </w:num>
  <w:num w:numId="14">
    <w:abstractNumId w:val="19"/>
  </w:num>
  <w:num w:numId="15">
    <w:abstractNumId w:val="4"/>
  </w:num>
  <w:num w:numId="16">
    <w:abstractNumId w:val="23"/>
  </w:num>
  <w:num w:numId="17">
    <w:abstractNumId w:val="13"/>
  </w:num>
  <w:num w:numId="18">
    <w:abstractNumId w:val="24"/>
  </w:num>
  <w:num w:numId="19">
    <w:abstractNumId w:val="20"/>
  </w:num>
  <w:num w:numId="20">
    <w:abstractNumId w:val="3"/>
  </w:num>
  <w:num w:numId="21">
    <w:abstractNumId w:val="0"/>
  </w:num>
  <w:num w:numId="22">
    <w:abstractNumId w:val="9"/>
  </w:num>
  <w:num w:numId="23">
    <w:abstractNumId w:val="1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05C"/>
    <w:rsid w:val="0000019D"/>
    <w:rsid w:val="000006E2"/>
    <w:rsid w:val="00000B38"/>
    <w:rsid w:val="000023AD"/>
    <w:rsid w:val="00003B44"/>
    <w:rsid w:val="000074A8"/>
    <w:rsid w:val="000200E3"/>
    <w:rsid w:val="00021770"/>
    <w:rsid w:val="0002440B"/>
    <w:rsid w:val="00024656"/>
    <w:rsid w:val="00024DBA"/>
    <w:rsid w:val="00025EEB"/>
    <w:rsid w:val="000309DE"/>
    <w:rsid w:val="00030F21"/>
    <w:rsid w:val="00031A4B"/>
    <w:rsid w:val="00032826"/>
    <w:rsid w:val="000374FA"/>
    <w:rsid w:val="0004033A"/>
    <w:rsid w:val="00040D1B"/>
    <w:rsid w:val="00044026"/>
    <w:rsid w:val="00045E20"/>
    <w:rsid w:val="000469E4"/>
    <w:rsid w:val="00047CA3"/>
    <w:rsid w:val="00052B1C"/>
    <w:rsid w:val="000565C0"/>
    <w:rsid w:val="00057A94"/>
    <w:rsid w:val="0006014F"/>
    <w:rsid w:val="000634F7"/>
    <w:rsid w:val="0006647A"/>
    <w:rsid w:val="000666F4"/>
    <w:rsid w:val="00066A61"/>
    <w:rsid w:val="0006762A"/>
    <w:rsid w:val="00070291"/>
    <w:rsid w:val="00071BDE"/>
    <w:rsid w:val="00072EAC"/>
    <w:rsid w:val="00073383"/>
    <w:rsid w:val="00073507"/>
    <w:rsid w:val="000757DC"/>
    <w:rsid w:val="00080079"/>
    <w:rsid w:val="00080675"/>
    <w:rsid w:val="000813F1"/>
    <w:rsid w:val="00085AEB"/>
    <w:rsid w:val="00085BD8"/>
    <w:rsid w:val="00086780"/>
    <w:rsid w:val="000870F6"/>
    <w:rsid w:val="000909DC"/>
    <w:rsid w:val="000917C1"/>
    <w:rsid w:val="00095802"/>
    <w:rsid w:val="000961B6"/>
    <w:rsid w:val="00096B9B"/>
    <w:rsid w:val="000A1195"/>
    <w:rsid w:val="000A26AC"/>
    <w:rsid w:val="000A294E"/>
    <w:rsid w:val="000A63C6"/>
    <w:rsid w:val="000B044B"/>
    <w:rsid w:val="000B0F76"/>
    <w:rsid w:val="000B234D"/>
    <w:rsid w:val="000B3E52"/>
    <w:rsid w:val="000B4077"/>
    <w:rsid w:val="000B73A9"/>
    <w:rsid w:val="000C0654"/>
    <w:rsid w:val="000C0E32"/>
    <w:rsid w:val="000C2033"/>
    <w:rsid w:val="000C27EF"/>
    <w:rsid w:val="000C3662"/>
    <w:rsid w:val="000C4CF7"/>
    <w:rsid w:val="000C4DFA"/>
    <w:rsid w:val="000C567F"/>
    <w:rsid w:val="000C7D55"/>
    <w:rsid w:val="000D1AB5"/>
    <w:rsid w:val="000D2995"/>
    <w:rsid w:val="000D33AE"/>
    <w:rsid w:val="000D3E4F"/>
    <w:rsid w:val="000D6BB1"/>
    <w:rsid w:val="000E0B90"/>
    <w:rsid w:val="000E1105"/>
    <w:rsid w:val="000E1553"/>
    <w:rsid w:val="000E3B8B"/>
    <w:rsid w:val="000E72B2"/>
    <w:rsid w:val="000F07AD"/>
    <w:rsid w:val="000F225C"/>
    <w:rsid w:val="000F2294"/>
    <w:rsid w:val="000F3230"/>
    <w:rsid w:val="000F7473"/>
    <w:rsid w:val="001045F3"/>
    <w:rsid w:val="00105162"/>
    <w:rsid w:val="001109A9"/>
    <w:rsid w:val="001114D0"/>
    <w:rsid w:val="0011186F"/>
    <w:rsid w:val="00112A6A"/>
    <w:rsid w:val="00113CEC"/>
    <w:rsid w:val="00115948"/>
    <w:rsid w:val="001159BB"/>
    <w:rsid w:val="00117CD8"/>
    <w:rsid w:val="00120CF6"/>
    <w:rsid w:val="0012212B"/>
    <w:rsid w:val="00122B52"/>
    <w:rsid w:val="00123813"/>
    <w:rsid w:val="0012492F"/>
    <w:rsid w:val="00131229"/>
    <w:rsid w:val="00132070"/>
    <w:rsid w:val="00132518"/>
    <w:rsid w:val="00132C26"/>
    <w:rsid w:val="00136B02"/>
    <w:rsid w:val="00140167"/>
    <w:rsid w:val="00141336"/>
    <w:rsid w:val="0014314A"/>
    <w:rsid w:val="001456F1"/>
    <w:rsid w:val="001471BB"/>
    <w:rsid w:val="00147D0C"/>
    <w:rsid w:val="001534F8"/>
    <w:rsid w:val="00153E12"/>
    <w:rsid w:val="0015531E"/>
    <w:rsid w:val="00155531"/>
    <w:rsid w:val="001577C6"/>
    <w:rsid w:val="00160BCE"/>
    <w:rsid w:val="00161067"/>
    <w:rsid w:val="001626FE"/>
    <w:rsid w:val="001654A2"/>
    <w:rsid w:val="00170286"/>
    <w:rsid w:val="00170BA7"/>
    <w:rsid w:val="00170D97"/>
    <w:rsid w:val="00171AE7"/>
    <w:rsid w:val="001744AA"/>
    <w:rsid w:val="0017478E"/>
    <w:rsid w:val="00175EC4"/>
    <w:rsid w:val="001762A8"/>
    <w:rsid w:val="00176AEA"/>
    <w:rsid w:val="001830C1"/>
    <w:rsid w:val="00185D46"/>
    <w:rsid w:val="001A064B"/>
    <w:rsid w:val="001A0717"/>
    <w:rsid w:val="001A5BB6"/>
    <w:rsid w:val="001A6A30"/>
    <w:rsid w:val="001A6C51"/>
    <w:rsid w:val="001A7DC1"/>
    <w:rsid w:val="001B0C1A"/>
    <w:rsid w:val="001B4DA3"/>
    <w:rsid w:val="001B52CC"/>
    <w:rsid w:val="001B5578"/>
    <w:rsid w:val="001B69DA"/>
    <w:rsid w:val="001C05E5"/>
    <w:rsid w:val="001C10F6"/>
    <w:rsid w:val="001C183E"/>
    <w:rsid w:val="001C2897"/>
    <w:rsid w:val="001C306E"/>
    <w:rsid w:val="001C604C"/>
    <w:rsid w:val="001C79C8"/>
    <w:rsid w:val="001C7F23"/>
    <w:rsid w:val="001D0562"/>
    <w:rsid w:val="001D125E"/>
    <w:rsid w:val="001D1A83"/>
    <w:rsid w:val="001D1F30"/>
    <w:rsid w:val="001D3BDA"/>
    <w:rsid w:val="001D48BE"/>
    <w:rsid w:val="001D730A"/>
    <w:rsid w:val="001E4705"/>
    <w:rsid w:val="001E5CD5"/>
    <w:rsid w:val="001E7A69"/>
    <w:rsid w:val="001F12A8"/>
    <w:rsid w:val="001F1FCB"/>
    <w:rsid w:val="001F68B1"/>
    <w:rsid w:val="001F7168"/>
    <w:rsid w:val="001F7A45"/>
    <w:rsid w:val="00200F32"/>
    <w:rsid w:val="0020160A"/>
    <w:rsid w:val="00203F78"/>
    <w:rsid w:val="00204501"/>
    <w:rsid w:val="002076DD"/>
    <w:rsid w:val="002121FA"/>
    <w:rsid w:val="00213B15"/>
    <w:rsid w:val="00215632"/>
    <w:rsid w:val="00217425"/>
    <w:rsid w:val="00221A88"/>
    <w:rsid w:val="00225CEE"/>
    <w:rsid w:val="00225F88"/>
    <w:rsid w:val="00230D94"/>
    <w:rsid w:val="00231BB8"/>
    <w:rsid w:val="002336C9"/>
    <w:rsid w:val="0023384F"/>
    <w:rsid w:val="00233E44"/>
    <w:rsid w:val="0023480F"/>
    <w:rsid w:val="002350AB"/>
    <w:rsid w:val="00240272"/>
    <w:rsid w:val="00240B19"/>
    <w:rsid w:val="0024490D"/>
    <w:rsid w:val="00247BB2"/>
    <w:rsid w:val="00251617"/>
    <w:rsid w:val="00252AA2"/>
    <w:rsid w:val="00261727"/>
    <w:rsid w:val="00261A52"/>
    <w:rsid w:val="00264143"/>
    <w:rsid w:val="0026439D"/>
    <w:rsid w:val="00270D84"/>
    <w:rsid w:val="00273082"/>
    <w:rsid w:val="00273B6B"/>
    <w:rsid w:val="002750C8"/>
    <w:rsid w:val="00275E6D"/>
    <w:rsid w:val="00277257"/>
    <w:rsid w:val="00280233"/>
    <w:rsid w:val="00281497"/>
    <w:rsid w:val="002840DB"/>
    <w:rsid w:val="00284CAD"/>
    <w:rsid w:val="00285456"/>
    <w:rsid w:val="00287A44"/>
    <w:rsid w:val="0029091B"/>
    <w:rsid w:val="00290D6A"/>
    <w:rsid w:val="00291977"/>
    <w:rsid w:val="00293CDC"/>
    <w:rsid w:val="00293FC2"/>
    <w:rsid w:val="0029582A"/>
    <w:rsid w:val="002A0887"/>
    <w:rsid w:val="002A7ACE"/>
    <w:rsid w:val="002B0C27"/>
    <w:rsid w:val="002B22B2"/>
    <w:rsid w:val="002B26E9"/>
    <w:rsid w:val="002B4D70"/>
    <w:rsid w:val="002B63ED"/>
    <w:rsid w:val="002B7E60"/>
    <w:rsid w:val="002C04ED"/>
    <w:rsid w:val="002C1C18"/>
    <w:rsid w:val="002C69C4"/>
    <w:rsid w:val="002C6B9D"/>
    <w:rsid w:val="002D0BAD"/>
    <w:rsid w:val="002D0BF0"/>
    <w:rsid w:val="002D2FA5"/>
    <w:rsid w:val="002D5243"/>
    <w:rsid w:val="002D5BC5"/>
    <w:rsid w:val="002D5F21"/>
    <w:rsid w:val="002D6B37"/>
    <w:rsid w:val="002E0251"/>
    <w:rsid w:val="002E0DC1"/>
    <w:rsid w:val="002E20E1"/>
    <w:rsid w:val="002E2223"/>
    <w:rsid w:val="002E3C20"/>
    <w:rsid w:val="002E3CB3"/>
    <w:rsid w:val="002E42F6"/>
    <w:rsid w:val="002E46C1"/>
    <w:rsid w:val="002F3318"/>
    <w:rsid w:val="002F3F54"/>
    <w:rsid w:val="00305F07"/>
    <w:rsid w:val="00311041"/>
    <w:rsid w:val="0031142E"/>
    <w:rsid w:val="00313D29"/>
    <w:rsid w:val="0032039C"/>
    <w:rsid w:val="00321C89"/>
    <w:rsid w:val="00321D38"/>
    <w:rsid w:val="00326253"/>
    <w:rsid w:val="00327424"/>
    <w:rsid w:val="00333ACF"/>
    <w:rsid w:val="0033410B"/>
    <w:rsid w:val="003370E8"/>
    <w:rsid w:val="0034074E"/>
    <w:rsid w:val="00340AB6"/>
    <w:rsid w:val="003413A4"/>
    <w:rsid w:val="00341D44"/>
    <w:rsid w:val="00344AA5"/>
    <w:rsid w:val="00345583"/>
    <w:rsid w:val="00345A8B"/>
    <w:rsid w:val="00350BB5"/>
    <w:rsid w:val="00351C96"/>
    <w:rsid w:val="00352E9C"/>
    <w:rsid w:val="00356C9D"/>
    <w:rsid w:val="00360B29"/>
    <w:rsid w:val="003617D2"/>
    <w:rsid w:val="00361C19"/>
    <w:rsid w:val="003632EF"/>
    <w:rsid w:val="003633E8"/>
    <w:rsid w:val="003644F4"/>
    <w:rsid w:val="00366164"/>
    <w:rsid w:val="00370D31"/>
    <w:rsid w:val="0037204D"/>
    <w:rsid w:val="00372664"/>
    <w:rsid w:val="00373A13"/>
    <w:rsid w:val="00373B7A"/>
    <w:rsid w:val="00376D93"/>
    <w:rsid w:val="00380850"/>
    <w:rsid w:val="00381D55"/>
    <w:rsid w:val="00382D5E"/>
    <w:rsid w:val="00384E4F"/>
    <w:rsid w:val="003866BA"/>
    <w:rsid w:val="00386952"/>
    <w:rsid w:val="00386958"/>
    <w:rsid w:val="0038719A"/>
    <w:rsid w:val="0039045A"/>
    <w:rsid w:val="00391B18"/>
    <w:rsid w:val="00393C73"/>
    <w:rsid w:val="00397A60"/>
    <w:rsid w:val="003A22B3"/>
    <w:rsid w:val="003A2BE8"/>
    <w:rsid w:val="003A397F"/>
    <w:rsid w:val="003A72CB"/>
    <w:rsid w:val="003B401A"/>
    <w:rsid w:val="003B47AD"/>
    <w:rsid w:val="003B5484"/>
    <w:rsid w:val="003B757D"/>
    <w:rsid w:val="003C27BD"/>
    <w:rsid w:val="003C2F9D"/>
    <w:rsid w:val="003C3AF3"/>
    <w:rsid w:val="003C470F"/>
    <w:rsid w:val="003C579D"/>
    <w:rsid w:val="003C5D69"/>
    <w:rsid w:val="003D14A7"/>
    <w:rsid w:val="003D1BFB"/>
    <w:rsid w:val="003D2E70"/>
    <w:rsid w:val="003E03E2"/>
    <w:rsid w:val="003E42FD"/>
    <w:rsid w:val="003E5A5A"/>
    <w:rsid w:val="003E62F4"/>
    <w:rsid w:val="003E6EC4"/>
    <w:rsid w:val="003E764C"/>
    <w:rsid w:val="003E7722"/>
    <w:rsid w:val="003E7C70"/>
    <w:rsid w:val="003E7F6F"/>
    <w:rsid w:val="003F0DB7"/>
    <w:rsid w:val="003F4E80"/>
    <w:rsid w:val="003F5005"/>
    <w:rsid w:val="003F5FDA"/>
    <w:rsid w:val="0040071E"/>
    <w:rsid w:val="004048C8"/>
    <w:rsid w:val="00404BAC"/>
    <w:rsid w:val="00405B94"/>
    <w:rsid w:val="0042133E"/>
    <w:rsid w:val="00424181"/>
    <w:rsid w:val="00424D93"/>
    <w:rsid w:val="00426378"/>
    <w:rsid w:val="00426F81"/>
    <w:rsid w:val="00427732"/>
    <w:rsid w:val="00430213"/>
    <w:rsid w:val="004305CF"/>
    <w:rsid w:val="00432080"/>
    <w:rsid w:val="00443440"/>
    <w:rsid w:val="004437BA"/>
    <w:rsid w:val="004449A4"/>
    <w:rsid w:val="00445392"/>
    <w:rsid w:val="004454A0"/>
    <w:rsid w:val="004454FC"/>
    <w:rsid w:val="004471A9"/>
    <w:rsid w:val="004501B5"/>
    <w:rsid w:val="004514B7"/>
    <w:rsid w:val="00451C78"/>
    <w:rsid w:val="004534EE"/>
    <w:rsid w:val="00454D6D"/>
    <w:rsid w:val="00455406"/>
    <w:rsid w:val="004562E4"/>
    <w:rsid w:val="00460F10"/>
    <w:rsid w:val="00463E87"/>
    <w:rsid w:val="00467829"/>
    <w:rsid w:val="004703FC"/>
    <w:rsid w:val="00472F57"/>
    <w:rsid w:val="0047346A"/>
    <w:rsid w:val="00474222"/>
    <w:rsid w:val="00474362"/>
    <w:rsid w:val="00475122"/>
    <w:rsid w:val="00477233"/>
    <w:rsid w:val="004834CC"/>
    <w:rsid w:val="004855A1"/>
    <w:rsid w:val="00487F27"/>
    <w:rsid w:val="00490C19"/>
    <w:rsid w:val="00492643"/>
    <w:rsid w:val="00494D44"/>
    <w:rsid w:val="004958B6"/>
    <w:rsid w:val="00496907"/>
    <w:rsid w:val="004A2C1C"/>
    <w:rsid w:val="004A3F1E"/>
    <w:rsid w:val="004A4B97"/>
    <w:rsid w:val="004A4CCC"/>
    <w:rsid w:val="004A58F3"/>
    <w:rsid w:val="004A5BC9"/>
    <w:rsid w:val="004A6586"/>
    <w:rsid w:val="004A71F7"/>
    <w:rsid w:val="004B096C"/>
    <w:rsid w:val="004B2C93"/>
    <w:rsid w:val="004B2F21"/>
    <w:rsid w:val="004B548F"/>
    <w:rsid w:val="004C0502"/>
    <w:rsid w:val="004C3985"/>
    <w:rsid w:val="004D0EB3"/>
    <w:rsid w:val="004D28C9"/>
    <w:rsid w:val="004D300B"/>
    <w:rsid w:val="004D4BF8"/>
    <w:rsid w:val="004D4EF8"/>
    <w:rsid w:val="004E023B"/>
    <w:rsid w:val="004E1054"/>
    <w:rsid w:val="004E1E32"/>
    <w:rsid w:val="004E2B33"/>
    <w:rsid w:val="004E3956"/>
    <w:rsid w:val="004E3D37"/>
    <w:rsid w:val="004E4642"/>
    <w:rsid w:val="004F1937"/>
    <w:rsid w:val="004F52D5"/>
    <w:rsid w:val="00500D64"/>
    <w:rsid w:val="005014A7"/>
    <w:rsid w:val="00503324"/>
    <w:rsid w:val="0050449A"/>
    <w:rsid w:val="00504A99"/>
    <w:rsid w:val="005078F2"/>
    <w:rsid w:val="00507CD9"/>
    <w:rsid w:val="00510270"/>
    <w:rsid w:val="005105BC"/>
    <w:rsid w:val="00512829"/>
    <w:rsid w:val="0051674D"/>
    <w:rsid w:val="005229C3"/>
    <w:rsid w:val="00522B21"/>
    <w:rsid w:val="005237B3"/>
    <w:rsid w:val="00523C74"/>
    <w:rsid w:val="00523C9D"/>
    <w:rsid w:val="00524D1F"/>
    <w:rsid w:val="00526367"/>
    <w:rsid w:val="00526A13"/>
    <w:rsid w:val="0052791C"/>
    <w:rsid w:val="00527EDC"/>
    <w:rsid w:val="00532423"/>
    <w:rsid w:val="005334AB"/>
    <w:rsid w:val="00540878"/>
    <w:rsid w:val="0054199A"/>
    <w:rsid w:val="00541BD3"/>
    <w:rsid w:val="00542714"/>
    <w:rsid w:val="00544D55"/>
    <w:rsid w:val="00545191"/>
    <w:rsid w:val="005472A6"/>
    <w:rsid w:val="00550629"/>
    <w:rsid w:val="00550CBB"/>
    <w:rsid w:val="00551EED"/>
    <w:rsid w:val="00551F68"/>
    <w:rsid w:val="00551F75"/>
    <w:rsid w:val="00552623"/>
    <w:rsid w:val="00552751"/>
    <w:rsid w:val="00555F28"/>
    <w:rsid w:val="00556873"/>
    <w:rsid w:val="00562C39"/>
    <w:rsid w:val="0056351F"/>
    <w:rsid w:val="00563633"/>
    <w:rsid w:val="005643E9"/>
    <w:rsid w:val="00564AB3"/>
    <w:rsid w:val="00565093"/>
    <w:rsid w:val="00565FCD"/>
    <w:rsid w:val="00567074"/>
    <w:rsid w:val="005677E4"/>
    <w:rsid w:val="00567F19"/>
    <w:rsid w:val="00574A1F"/>
    <w:rsid w:val="00574A73"/>
    <w:rsid w:val="00581CAB"/>
    <w:rsid w:val="00582940"/>
    <w:rsid w:val="00583279"/>
    <w:rsid w:val="00587270"/>
    <w:rsid w:val="00595D6D"/>
    <w:rsid w:val="00596D0B"/>
    <w:rsid w:val="00597494"/>
    <w:rsid w:val="00597DF3"/>
    <w:rsid w:val="005A1F79"/>
    <w:rsid w:val="005A1FB0"/>
    <w:rsid w:val="005A298E"/>
    <w:rsid w:val="005A3213"/>
    <w:rsid w:val="005A3781"/>
    <w:rsid w:val="005A58B3"/>
    <w:rsid w:val="005A7006"/>
    <w:rsid w:val="005A71F9"/>
    <w:rsid w:val="005B47B2"/>
    <w:rsid w:val="005B56B8"/>
    <w:rsid w:val="005B5DED"/>
    <w:rsid w:val="005C3AAA"/>
    <w:rsid w:val="005C5CB1"/>
    <w:rsid w:val="005D0BE5"/>
    <w:rsid w:val="005D12D8"/>
    <w:rsid w:val="005D2013"/>
    <w:rsid w:val="005D29A7"/>
    <w:rsid w:val="005D55DC"/>
    <w:rsid w:val="005D5793"/>
    <w:rsid w:val="005D687A"/>
    <w:rsid w:val="005D6961"/>
    <w:rsid w:val="005D6B46"/>
    <w:rsid w:val="005E06E8"/>
    <w:rsid w:val="005E0EAE"/>
    <w:rsid w:val="005E5CF1"/>
    <w:rsid w:val="005E6DAF"/>
    <w:rsid w:val="005F597D"/>
    <w:rsid w:val="005F5CB6"/>
    <w:rsid w:val="006024FA"/>
    <w:rsid w:val="00603088"/>
    <w:rsid w:val="00604B3E"/>
    <w:rsid w:val="00605D20"/>
    <w:rsid w:val="00606AF6"/>
    <w:rsid w:val="00607497"/>
    <w:rsid w:val="00610D5A"/>
    <w:rsid w:val="00611189"/>
    <w:rsid w:val="006159C6"/>
    <w:rsid w:val="006168CA"/>
    <w:rsid w:val="0061791A"/>
    <w:rsid w:val="00617D77"/>
    <w:rsid w:val="0062078D"/>
    <w:rsid w:val="00621C2B"/>
    <w:rsid w:val="00623047"/>
    <w:rsid w:val="00624D99"/>
    <w:rsid w:val="00625B07"/>
    <w:rsid w:val="00625F1C"/>
    <w:rsid w:val="00632744"/>
    <w:rsid w:val="006332AA"/>
    <w:rsid w:val="00634780"/>
    <w:rsid w:val="00635872"/>
    <w:rsid w:val="0064144D"/>
    <w:rsid w:val="00641CF5"/>
    <w:rsid w:val="0064399E"/>
    <w:rsid w:val="00643A54"/>
    <w:rsid w:val="00644287"/>
    <w:rsid w:val="006446B6"/>
    <w:rsid w:val="00644CAA"/>
    <w:rsid w:val="0065190B"/>
    <w:rsid w:val="006519FD"/>
    <w:rsid w:val="00651A5D"/>
    <w:rsid w:val="006532E7"/>
    <w:rsid w:val="006561CD"/>
    <w:rsid w:val="00656D51"/>
    <w:rsid w:val="00661C26"/>
    <w:rsid w:val="00664CB3"/>
    <w:rsid w:val="0066782D"/>
    <w:rsid w:val="00667D19"/>
    <w:rsid w:val="006711FC"/>
    <w:rsid w:val="006712BF"/>
    <w:rsid w:val="00673399"/>
    <w:rsid w:val="00673D7A"/>
    <w:rsid w:val="00675E80"/>
    <w:rsid w:val="006818FF"/>
    <w:rsid w:val="00683DE2"/>
    <w:rsid w:val="00685C70"/>
    <w:rsid w:val="00687015"/>
    <w:rsid w:val="0069197B"/>
    <w:rsid w:val="00693302"/>
    <w:rsid w:val="00693FC6"/>
    <w:rsid w:val="00697490"/>
    <w:rsid w:val="006A0F31"/>
    <w:rsid w:val="006A0F4F"/>
    <w:rsid w:val="006A3C0C"/>
    <w:rsid w:val="006A466E"/>
    <w:rsid w:val="006A6E4A"/>
    <w:rsid w:val="006B02EE"/>
    <w:rsid w:val="006B2A5D"/>
    <w:rsid w:val="006B350D"/>
    <w:rsid w:val="006B43AB"/>
    <w:rsid w:val="006B534E"/>
    <w:rsid w:val="006B5F48"/>
    <w:rsid w:val="006B6A78"/>
    <w:rsid w:val="006B75DA"/>
    <w:rsid w:val="006B7A84"/>
    <w:rsid w:val="006C0E58"/>
    <w:rsid w:val="006C129E"/>
    <w:rsid w:val="006C1CC0"/>
    <w:rsid w:val="006C1F2A"/>
    <w:rsid w:val="006C5574"/>
    <w:rsid w:val="006C5A2B"/>
    <w:rsid w:val="006D2376"/>
    <w:rsid w:val="006D3386"/>
    <w:rsid w:val="006D60A0"/>
    <w:rsid w:val="006D685C"/>
    <w:rsid w:val="006D7BFF"/>
    <w:rsid w:val="006E1627"/>
    <w:rsid w:val="006E190B"/>
    <w:rsid w:val="006E33F4"/>
    <w:rsid w:val="006E668F"/>
    <w:rsid w:val="006F05D1"/>
    <w:rsid w:val="006F180F"/>
    <w:rsid w:val="006F39C7"/>
    <w:rsid w:val="006F5E95"/>
    <w:rsid w:val="006F72BA"/>
    <w:rsid w:val="0070130A"/>
    <w:rsid w:val="00701C70"/>
    <w:rsid w:val="007020BD"/>
    <w:rsid w:val="0070592D"/>
    <w:rsid w:val="00705CA4"/>
    <w:rsid w:val="00707AB9"/>
    <w:rsid w:val="00713A1F"/>
    <w:rsid w:val="00716B36"/>
    <w:rsid w:val="00716F66"/>
    <w:rsid w:val="00717945"/>
    <w:rsid w:val="00722521"/>
    <w:rsid w:val="00733583"/>
    <w:rsid w:val="0073374C"/>
    <w:rsid w:val="00737756"/>
    <w:rsid w:val="00737986"/>
    <w:rsid w:val="00740111"/>
    <w:rsid w:val="00743FD9"/>
    <w:rsid w:val="00744F8A"/>
    <w:rsid w:val="007455B0"/>
    <w:rsid w:val="0074667F"/>
    <w:rsid w:val="007469E6"/>
    <w:rsid w:val="007507F0"/>
    <w:rsid w:val="007508A5"/>
    <w:rsid w:val="00753A42"/>
    <w:rsid w:val="007540A3"/>
    <w:rsid w:val="0075726A"/>
    <w:rsid w:val="00761EED"/>
    <w:rsid w:val="0076294D"/>
    <w:rsid w:val="0076548E"/>
    <w:rsid w:val="00766704"/>
    <w:rsid w:val="00771833"/>
    <w:rsid w:val="00771EC0"/>
    <w:rsid w:val="00772BBA"/>
    <w:rsid w:val="00773F09"/>
    <w:rsid w:val="0077425D"/>
    <w:rsid w:val="00774E3B"/>
    <w:rsid w:val="007764AD"/>
    <w:rsid w:val="007774E0"/>
    <w:rsid w:val="0078084F"/>
    <w:rsid w:val="007819DD"/>
    <w:rsid w:val="00782672"/>
    <w:rsid w:val="00785971"/>
    <w:rsid w:val="00790AE6"/>
    <w:rsid w:val="00791484"/>
    <w:rsid w:val="00793F30"/>
    <w:rsid w:val="00797215"/>
    <w:rsid w:val="007A6BDC"/>
    <w:rsid w:val="007A6D35"/>
    <w:rsid w:val="007A6FA7"/>
    <w:rsid w:val="007A70E5"/>
    <w:rsid w:val="007B2793"/>
    <w:rsid w:val="007B2F1E"/>
    <w:rsid w:val="007B46CF"/>
    <w:rsid w:val="007C05BB"/>
    <w:rsid w:val="007C0833"/>
    <w:rsid w:val="007C21AD"/>
    <w:rsid w:val="007C354E"/>
    <w:rsid w:val="007C4C98"/>
    <w:rsid w:val="007C5709"/>
    <w:rsid w:val="007C65FC"/>
    <w:rsid w:val="007C67B5"/>
    <w:rsid w:val="007C7E44"/>
    <w:rsid w:val="007D0671"/>
    <w:rsid w:val="007D51AF"/>
    <w:rsid w:val="007D62CD"/>
    <w:rsid w:val="007D7745"/>
    <w:rsid w:val="007D7D1B"/>
    <w:rsid w:val="007E24EF"/>
    <w:rsid w:val="007E2B8C"/>
    <w:rsid w:val="007E3D9C"/>
    <w:rsid w:val="007F0F5D"/>
    <w:rsid w:val="007F29D0"/>
    <w:rsid w:val="00800F9D"/>
    <w:rsid w:val="0080129C"/>
    <w:rsid w:val="0080224B"/>
    <w:rsid w:val="008035D5"/>
    <w:rsid w:val="0080453A"/>
    <w:rsid w:val="0080681F"/>
    <w:rsid w:val="00810C43"/>
    <w:rsid w:val="008113C8"/>
    <w:rsid w:val="008129E6"/>
    <w:rsid w:val="00815AB7"/>
    <w:rsid w:val="00821267"/>
    <w:rsid w:val="00822342"/>
    <w:rsid w:val="00822FB6"/>
    <w:rsid w:val="00827279"/>
    <w:rsid w:val="00830E51"/>
    <w:rsid w:val="00831987"/>
    <w:rsid w:val="00832738"/>
    <w:rsid w:val="0083683E"/>
    <w:rsid w:val="00840370"/>
    <w:rsid w:val="0084074A"/>
    <w:rsid w:val="00841E51"/>
    <w:rsid w:val="00842FEF"/>
    <w:rsid w:val="00846C31"/>
    <w:rsid w:val="00852808"/>
    <w:rsid w:val="00856C8B"/>
    <w:rsid w:val="008575AC"/>
    <w:rsid w:val="00857737"/>
    <w:rsid w:val="008602E3"/>
    <w:rsid w:val="0086241B"/>
    <w:rsid w:val="0086327E"/>
    <w:rsid w:val="00865E38"/>
    <w:rsid w:val="00866B3D"/>
    <w:rsid w:val="00867280"/>
    <w:rsid w:val="008673EC"/>
    <w:rsid w:val="00867A6E"/>
    <w:rsid w:val="00872D0A"/>
    <w:rsid w:val="0087343A"/>
    <w:rsid w:val="008758D2"/>
    <w:rsid w:val="00876024"/>
    <w:rsid w:val="00881806"/>
    <w:rsid w:val="00881D94"/>
    <w:rsid w:val="00882B38"/>
    <w:rsid w:val="0088342E"/>
    <w:rsid w:val="00885298"/>
    <w:rsid w:val="00885779"/>
    <w:rsid w:val="00886D3F"/>
    <w:rsid w:val="00886E71"/>
    <w:rsid w:val="00887BC3"/>
    <w:rsid w:val="008921E8"/>
    <w:rsid w:val="00892397"/>
    <w:rsid w:val="00895A73"/>
    <w:rsid w:val="008969EF"/>
    <w:rsid w:val="00897532"/>
    <w:rsid w:val="008A1E78"/>
    <w:rsid w:val="008A42EA"/>
    <w:rsid w:val="008A6A3A"/>
    <w:rsid w:val="008A714D"/>
    <w:rsid w:val="008A7669"/>
    <w:rsid w:val="008B0227"/>
    <w:rsid w:val="008B0478"/>
    <w:rsid w:val="008B06D6"/>
    <w:rsid w:val="008B1199"/>
    <w:rsid w:val="008B2EE0"/>
    <w:rsid w:val="008B4214"/>
    <w:rsid w:val="008B4293"/>
    <w:rsid w:val="008B55D1"/>
    <w:rsid w:val="008B683E"/>
    <w:rsid w:val="008C09E2"/>
    <w:rsid w:val="008C1C2F"/>
    <w:rsid w:val="008C2B25"/>
    <w:rsid w:val="008C367B"/>
    <w:rsid w:val="008C7745"/>
    <w:rsid w:val="008D1954"/>
    <w:rsid w:val="008D3BEA"/>
    <w:rsid w:val="008E2AA8"/>
    <w:rsid w:val="008E4041"/>
    <w:rsid w:val="008E5AA7"/>
    <w:rsid w:val="008E748B"/>
    <w:rsid w:val="008E74C5"/>
    <w:rsid w:val="008F47E2"/>
    <w:rsid w:val="008F76F4"/>
    <w:rsid w:val="00901F2F"/>
    <w:rsid w:val="00904418"/>
    <w:rsid w:val="00904F81"/>
    <w:rsid w:val="00910286"/>
    <w:rsid w:val="009112EA"/>
    <w:rsid w:val="00912399"/>
    <w:rsid w:val="00916092"/>
    <w:rsid w:val="00916D53"/>
    <w:rsid w:val="00917DC5"/>
    <w:rsid w:val="00920F54"/>
    <w:rsid w:val="009225F8"/>
    <w:rsid w:val="00923949"/>
    <w:rsid w:val="009244EA"/>
    <w:rsid w:val="009266FD"/>
    <w:rsid w:val="009304CC"/>
    <w:rsid w:val="00931D4C"/>
    <w:rsid w:val="00941D2C"/>
    <w:rsid w:val="00941E9A"/>
    <w:rsid w:val="00942310"/>
    <w:rsid w:val="00942DE6"/>
    <w:rsid w:val="009473E9"/>
    <w:rsid w:val="00952371"/>
    <w:rsid w:val="00953020"/>
    <w:rsid w:val="00953F1F"/>
    <w:rsid w:val="00955ADE"/>
    <w:rsid w:val="00957871"/>
    <w:rsid w:val="00960514"/>
    <w:rsid w:val="00961B0B"/>
    <w:rsid w:val="0096213C"/>
    <w:rsid w:val="0096345A"/>
    <w:rsid w:val="00963F20"/>
    <w:rsid w:val="0096465B"/>
    <w:rsid w:val="0097028A"/>
    <w:rsid w:val="009713B9"/>
    <w:rsid w:val="00972657"/>
    <w:rsid w:val="00974CFC"/>
    <w:rsid w:val="009759DB"/>
    <w:rsid w:val="009764C0"/>
    <w:rsid w:val="00977A0E"/>
    <w:rsid w:val="00981075"/>
    <w:rsid w:val="0098181D"/>
    <w:rsid w:val="009860CA"/>
    <w:rsid w:val="0098669A"/>
    <w:rsid w:val="00986CAC"/>
    <w:rsid w:val="009909DC"/>
    <w:rsid w:val="009944DF"/>
    <w:rsid w:val="00995C69"/>
    <w:rsid w:val="00995FE3"/>
    <w:rsid w:val="00996ED7"/>
    <w:rsid w:val="009A231F"/>
    <w:rsid w:val="009B0325"/>
    <w:rsid w:val="009B2233"/>
    <w:rsid w:val="009B3083"/>
    <w:rsid w:val="009B3482"/>
    <w:rsid w:val="009B35EA"/>
    <w:rsid w:val="009B3A40"/>
    <w:rsid w:val="009B3FEA"/>
    <w:rsid w:val="009B53AE"/>
    <w:rsid w:val="009B5F4D"/>
    <w:rsid w:val="009C100A"/>
    <w:rsid w:val="009C1110"/>
    <w:rsid w:val="009C22FE"/>
    <w:rsid w:val="009D135D"/>
    <w:rsid w:val="009D1A43"/>
    <w:rsid w:val="009D35F1"/>
    <w:rsid w:val="009D3B90"/>
    <w:rsid w:val="009D4CA7"/>
    <w:rsid w:val="009D4E2F"/>
    <w:rsid w:val="009D7C04"/>
    <w:rsid w:val="009E3543"/>
    <w:rsid w:val="009E39CD"/>
    <w:rsid w:val="009E3D23"/>
    <w:rsid w:val="009E4FA6"/>
    <w:rsid w:val="009E5D88"/>
    <w:rsid w:val="009E775E"/>
    <w:rsid w:val="009E7F28"/>
    <w:rsid w:val="009F1D56"/>
    <w:rsid w:val="009F7822"/>
    <w:rsid w:val="00A01140"/>
    <w:rsid w:val="00A052CC"/>
    <w:rsid w:val="00A05ED6"/>
    <w:rsid w:val="00A068DE"/>
    <w:rsid w:val="00A07765"/>
    <w:rsid w:val="00A078FB"/>
    <w:rsid w:val="00A109AA"/>
    <w:rsid w:val="00A15241"/>
    <w:rsid w:val="00A16622"/>
    <w:rsid w:val="00A1731A"/>
    <w:rsid w:val="00A20EFC"/>
    <w:rsid w:val="00A23923"/>
    <w:rsid w:val="00A24D3D"/>
    <w:rsid w:val="00A34C7D"/>
    <w:rsid w:val="00A369FF"/>
    <w:rsid w:val="00A4041B"/>
    <w:rsid w:val="00A430CD"/>
    <w:rsid w:val="00A45947"/>
    <w:rsid w:val="00A51BF5"/>
    <w:rsid w:val="00A53E2A"/>
    <w:rsid w:val="00A54298"/>
    <w:rsid w:val="00A54380"/>
    <w:rsid w:val="00A55A9B"/>
    <w:rsid w:val="00A60117"/>
    <w:rsid w:val="00A60804"/>
    <w:rsid w:val="00A61224"/>
    <w:rsid w:val="00A61FA8"/>
    <w:rsid w:val="00A622BD"/>
    <w:rsid w:val="00A639F2"/>
    <w:rsid w:val="00A63D74"/>
    <w:rsid w:val="00A66BFD"/>
    <w:rsid w:val="00A67051"/>
    <w:rsid w:val="00A679E0"/>
    <w:rsid w:val="00A7059C"/>
    <w:rsid w:val="00A713F4"/>
    <w:rsid w:val="00A732E8"/>
    <w:rsid w:val="00A73737"/>
    <w:rsid w:val="00A811FE"/>
    <w:rsid w:val="00A82D6D"/>
    <w:rsid w:val="00A8305C"/>
    <w:rsid w:val="00A84169"/>
    <w:rsid w:val="00A867E9"/>
    <w:rsid w:val="00A87128"/>
    <w:rsid w:val="00A90A3B"/>
    <w:rsid w:val="00A91DD1"/>
    <w:rsid w:val="00A93DEF"/>
    <w:rsid w:val="00A9639B"/>
    <w:rsid w:val="00AA0471"/>
    <w:rsid w:val="00AA05DF"/>
    <w:rsid w:val="00AA0BC0"/>
    <w:rsid w:val="00AA12AA"/>
    <w:rsid w:val="00AA2310"/>
    <w:rsid w:val="00AA42BD"/>
    <w:rsid w:val="00AA4A3E"/>
    <w:rsid w:val="00AA73D5"/>
    <w:rsid w:val="00AB0BE2"/>
    <w:rsid w:val="00AB0D1A"/>
    <w:rsid w:val="00AB189F"/>
    <w:rsid w:val="00AB22BC"/>
    <w:rsid w:val="00AB66BE"/>
    <w:rsid w:val="00AB7CB2"/>
    <w:rsid w:val="00AC1607"/>
    <w:rsid w:val="00AC2BBC"/>
    <w:rsid w:val="00AD0DD1"/>
    <w:rsid w:val="00AD277A"/>
    <w:rsid w:val="00AD2C36"/>
    <w:rsid w:val="00AD5B4B"/>
    <w:rsid w:val="00AD5DA5"/>
    <w:rsid w:val="00AD6A76"/>
    <w:rsid w:val="00AD736B"/>
    <w:rsid w:val="00AE1767"/>
    <w:rsid w:val="00AE17B6"/>
    <w:rsid w:val="00AE1CBD"/>
    <w:rsid w:val="00AE2256"/>
    <w:rsid w:val="00AE2477"/>
    <w:rsid w:val="00AE34E3"/>
    <w:rsid w:val="00AE3789"/>
    <w:rsid w:val="00AE580E"/>
    <w:rsid w:val="00AE7C4B"/>
    <w:rsid w:val="00AF027D"/>
    <w:rsid w:val="00AF074A"/>
    <w:rsid w:val="00AF1F02"/>
    <w:rsid w:val="00AF1FDC"/>
    <w:rsid w:val="00AF32CC"/>
    <w:rsid w:val="00AF5144"/>
    <w:rsid w:val="00AF62FC"/>
    <w:rsid w:val="00AF69F1"/>
    <w:rsid w:val="00AF6E1F"/>
    <w:rsid w:val="00AF718B"/>
    <w:rsid w:val="00AF759C"/>
    <w:rsid w:val="00AF7EE9"/>
    <w:rsid w:val="00B02C87"/>
    <w:rsid w:val="00B03B42"/>
    <w:rsid w:val="00B04683"/>
    <w:rsid w:val="00B04FEF"/>
    <w:rsid w:val="00B06F3C"/>
    <w:rsid w:val="00B07981"/>
    <w:rsid w:val="00B11578"/>
    <w:rsid w:val="00B1226F"/>
    <w:rsid w:val="00B13CA3"/>
    <w:rsid w:val="00B14363"/>
    <w:rsid w:val="00B168AA"/>
    <w:rsid w:val="00B16B93"/>
    <w:rsid w:val="00B17160"/>
    <w:rsid w:val="00B222D6"/>
    <w:rsid w:val="00B25768"/>
    <w:rsid w:val="00B2580F"/>
    <w:rsid w:val="00B30A4F"/>
    <w:rsid w:val="00B34981"/>
    <w:rsid w:val="00B3543D"/>
    <w:rsid w:val="00B35F6C"/>
    <w:rsid w:val="00B401EB"/>
    <w:rsid w:val="00B40D9B"/>
    <w:rsid w:val="00B426AE"/>
    <w:rsid w:val="00B4417B"/>
    <w:rsid w:val="00B4456D"/>
    <w:rsid w:val="00B458D0"/>
    <w:rsid w:val="00B47004"/>
    <w:rsid w:val="00B47540"/>
    <w:rsid w:val="00B475C8"/>
    <w:rsid w:val="00B47EAE"/>
    <w:rsid w:val="00B52142"/>
    <w:rsid w:val="00B56FAE"/>
    <w:rsid w:val="00B60729"/>
    <w:rsid w:val="00B6128A"/>
    <w:rsid w:val="00B624BA"/>
    <w:rsid w:val="00B6404F"/>
    <w:rsid w:val="00B640DD"/>
    <w:rsid w:val="00B6559D"/>
    <w:rsid w:val="00B677AC"/>
    <w:rsid w:val="00B67859"/>
    <w:rsid w:val="00B708BB"/>
    <w:rsid w:val="00B72022"/>
    <w:rsid w:val="00B73079"/>
    <w:rsid w:val="00B730C4"/>
    <w:rsid w:val="00B741A7"/>
    <w:rsid w:val="00B76297"/>
    <w:rsid w:val="00B766D6"/>
    <w:rsid w:val="00B80860"/>
    <w:rsid w:val="00B80CEE"/>
    <w:rsid w:val="00B80EF4"/>
    <w:rsid w:val="00B84CF7"/>
    <w:rsid w:val="00B851F6"/>
    <w:rsid w:val="00B87B02"/>
    <w:rsid w:val="00B90C6E"/>
    <w:rsid w:val="00B943B4"/>
    <w:rsid w:val="00B94E4C"/>
    <w:rsid w:val="00B9506D"/>
    <w:rsid w:val="00B9537D"/>
    <w:rsid w:val="00B96003"/>
    <w:rsid w:val="00B965D6"/>
    <w:rsid w:val="00B97394"/>
    <w:rsid w:val="00BA160D"/>
    <w:rsid w:val="00BA2AB9"/>
    <w:rsid w:val="00BA518F"/>
    <w:rsid w:val="00BA584F"/>
    <w:rsid w:val="00BA7616"/>
    <w:rsid w:val="00BB28C6"/>
    <w:rsid w:val="00BB2B74"/>
    <w:rsid w:val="00BB2C4F"/>
    <w:rsid w:val="00BB50DE"/>
    <w:rsid w:val="00BB5892"/>
    <w:rsid w:val="00BB5BFB"/>
    <w:rsid w:val="00BB6BF0"/>
    <w:rsid w:val="00BC1572"/>
    <w:rsid w:val="00BC2901"/>
    <w:rsid w:val="00BC2B55"/>
    <w:rsid w:val="00BC47F0"/>
    <w:rsid w:val="00BD00C2"/>
    <w:rsid w:val="00BD00D4"/>
    <w:rsid w:val="00BD0AB5"/>
    <w:rsid w:val="00BD0C89"/>
    <w:rsid w:val="00BD0E16"/>
    <w:rsid w:val="00BD238E"/>
    <w:rsid w:val="00BD2629"/>
    <w:rsid w:val="00BD2F8A"/>
    <w:rsid w:val="00BD429E"/>
    <w:rsid w:val="00BD7E3D"/>
    <w:rsid w:val="00BD7F10"/>
    <w:rsid w:val="00BE2815"/>
    <w:rsid w:val="00BE70D2"/>
    <w:rsid w:val="00BF1380"/>
    <w:rsid w:val="00BF449F"/>
    <w:rsid w:val="00BF5FE1"/>
    <w:rsid w:val="00BF727E"/>
    <w:rsid w:val="00C00393"/>
    <w:rsid w:val="00C01508"/>
    <w:rsid w:val="00C01762"/>
    <w:rsid w:val="00C0235C"/>
    <w:rsid w:val="00C03341"/>
    <w:rsid w:val="00C1434D"/>
    <w:rsid w:val="00C156F2"/>
    <w:rsid w:val="00C15AF6"/>
    <w:rsid w:val="00C16921"/>
    <w:rsid w:val="00C16B9B"/>
    <w:rsid w:val="00C2048D"/>
    <w:rsid w:val="00C25AA6"/>
    <w:rsid w:val="00C25B6F"/>
    <w:rsid w:val="00C2646C"/>
    <w:rsid w:val="00C275DE"/>
    <w:rsid w:val="00C30387"/>
    <w:rsid w:val="00C31819"/>
    <w:rsid w:val="00C32BF7"/>
    <w:rsid w:val="00C33037"/>
    <w:rsid w:val="00C36797"/>
    <w:rsid w:val="00C368D5"/>
    <w:rsid w:val="00C42500"/>
    <w:rsid w:val="00C42CEB"/>
    <w:rsid w:val="00C4349D"/>
    <w:rsid w:val="00C46402"/>
    <w:rsid w:val="00C46C71"/>
    <w:rsid w:val="00C5085D"/>
    <w:rsid w:val="00C519FE"/>
    <w:rsid w:val="00C5385F"/>
    <w:rsid w:val="00C546E6"/>
    <w:rsid w:val="00C57ADB"/>
    <w:rsid w:val="00C65142"/>
    <w:rsid w:val="00C66090"/>
    <w:rsid w:val="00C66B70"/>
    <w:rsid w:val="00C72E24"/>
    <w:rsid w:val="00C7395C"/>
    <w:rsid w:val="00C80DA7"/>
    <w:rsid w:val="00C83128"/>
    <w:rsid w:val="00C8339B"/>
    <w:rsid w:val="00C84B98"/>
    <w:rsid w:val="00C93403"/>
    <w:rsid w:val="00C93529"/>
    <w:rsid w:val="00C93EB3"/>
    <w:rsid w:val="00C94989"/>
    <w:rsid w:val="00C9509C"/>
    <w:rsid w:val="00C95844"/>
    <w:rsid w:val="00C95E86"/>
    <w:rsid w:val="00C96269"/>
    <w:rsid w:val="00CA1852"/>
    <w:rsid w:val="00CA221C"/>
    <w:rsid w:val="00CA3589"/>
    <w:rsid w:val="00CA5BAC"/>
    <w:rsid w:val="00CA600B"/>
    <w:rsid w:val="00CA662D"/>
    <w:rsid w:val="00CB0E01"/>
    <w:rsid w:val="00CB13F7"/>
    <w:rsid w:val="00CB1BF4"/>
    <w:rsid w:val="00CB6052"/>
    <w:rsid w:val="00CB71C6"/>
    <w:rsid w:val="00CC03E6"/>
    <w:rsid w:val="00CD335F"/>
    <w:rsid w:val="00CD3A3F"/>
    <w:rsid w:val="00CD5701"/>
    <w:rsid w:val="00CD640C"/>
    <w:rsid w:val="00CE23CA"/>
    <w:rsid w:val="00CE33EB"/>
    <w:rsid w:val="00CE4777"/>
    <w:rsid w:val="00CE4A65"/>
    <w:rsid w:val="00CE4E42"/>
    <w:rsid w:val="00CF019F"/>
    <w:rsid w:val="00CF02DB"/>
    <w:rsid w:val="00CF0594"/>
    <w:rsid w:val="00CF147B"/>
    <w:rsid w:val="00CF7846"/>
    <w:rsid w:val="00D04633"/>
    <w:rsid w:val="00D04813"/>
    <w:rsid w:val="00D06B29"/>
    <w:rsid w:val="00D06E9E"/>
    <w:rsid w:val="00D14021"/>
    <w:rsid w:val="00D15C20"/>
    <w:rsid w:val="00D16161"/>
    <w:rsid w:val="00D25315"/>
    <w:rsid w:val="00D25C03"/>
    <w:rsid w:val="00D3102C"/>
    <w:rsid w:val="00D31ABC"/>
    <w:rsid w:val="00D322C4"/>
    <w:rsid w:val="00D370C0"/>
    <w:rsid w:val="00D379A1"/>
    <w:rsid w:val="00D410C9"/>
    <w:rsid w:val="00D4142A"/>
    <w:rsid w:val="00D41B00"/>
    <w:rsid w:val="00D41EBD"/>
    <w:rsid w:val="00D44416"/>
    <w:rsid w:val="00D44E2B"/>
    <w:rsid w:val="00D53709"/>
    <w:rsid w:val="00D53E2C"/>
    <w:rsid w:val="00D544A6"/>
    <w:rsid w:val="00D54932"/>
    <w:rsid w:val="00D57B7D"/>
    <w:rsid w:val="00D61651"/>
    <w:rsid w:val="00D63001"/>
    <w:rsid w:val="00D65529"/>
    <w:rsid w:val="00D713D2"/>
    <w:rsid w:val="00D71CA1"/>
    <w:rsid w:val="00D7400C"/>
    <w:rsid w:val="00D816D9"/>
    <w:rsid w:val="00D81981"/>
    <w:rsid w:val="00D82697"/>
    <w:rsid w:val="00D82CA9"/>
    <w:rsid w:val="00D838BF"/>
    <w:rsid w:val="00D83A02"/>
    <w:rsid w:val="00D863BF"/>
    <w:rsid w:val="00D866AF"/>
    <w:rsid w:val="00D87159"/>
    <w:rsid w:val="00D933D0"/>
    <w:rsid w:val="00D9642F"/>
    <w:rsid w:val="00D96B97"/>
    <w:rsid w:val="00D978DD"/>
    <w:rsid w:val="00DA08F1"/>
    <w:rsid w:val="00DA0B5E"/>
    <w:rsid w:val="00DA16A9"/>
    <w:rsid w:val="00DA1AA6"/>
    <w:rsid w:val="00DA2BA9"/>
    <w:rsid w:val="00DA390B"/>
    <w:rsid w:val="00DA45FB"/>
    <w:rsid w:val="00DA62DA"/>
    <w:rsid w:val="00DB0673"/>
    <w:rsid w:val="00DB192F"/>
    <w:rsid w:val="00DB260B"/>
    <w:rsid w:val="00DB2F9F"/>
    <w:rsid w:val="00DB63A5"/>
    <w:rsid w:val="00DB65F2"/>
    <w:rsid w:val="00DC084F"/>
    <w:rsid w:val="00DC19B9"/>
    <w:rsid w:val="00DC3C50"/>
    <w:rsid w:val="00DC4E65"/>
    <w:rsid w:val="00DC5241"/>
    <w:rsid w:val="00DC7249"/>
    <w:rsid w:val="00DD150B"/>
    <w:rsid w:val="00DD2D95"/>
    <w:rsid w:val="00DD2FB3"/>
    <w:rsid w:val="00DD3E73"/>
    <w:rsid w:val="00DD74F5"/>
    <w:rsid w:val="00DD766A"/>
    <w:rsid w:val="00DE13EA"/>
    <w:rsid w:val="00DE2A34"/>
    <w:rsid w:val="00DE57ED"/>
    <w:rsid w:val="00DE5CD7"/>
    <w:rsid w:val="00DF389F"/>
    <w:rsid w:val="00DF5344"/>
    <w:rsid w:val="00E00C57"/>
    <w:rsid w:val="00E013F7"/>
    <w:rsid w:val="00E025EB"/>
    <w:rsid w:val="00E02AFC"/>
    <w:rsid w:val="00E03DF1"/>
    <w:rsid w:val="00E04023"/>
    <w:rsid w:val="00E06851"/>
    <w:rsid w:val="00E14684"/>
    <w:rsid w:val="00E14A7D"/>
    <w:rsid w:val="00E17ED8"/>
    <w:rsid w:val="00E20D47"/>
    <w:rsid w:val="00E210DC"/>
    <w:rsid w:val="00E21AC3"/>
    <w:rsid w:val="00E22635"/>
    <w:rsid w:val="00E2401C"/>
    <w:rsid w:val="00E24F66"/>
    <w:rsid w:val="00E272B1"/>
    <w:rsid w:val="00E32241"/>
    <w:rsid w:val="00E3412B"/>
    <w:rsid w:val="00E3539A"/>
    <w:rsid w:val="00E358FE"/>
    <w:rsid w:val="00E3592B"/>
    <w:rsid w:val="00E3789F"/>
    <w:rsid w:val="00E400A6"/>
    <w:rsid w:val="00E427D7"/>
    <w:rsid w:val="00E44372"/>
    <w:rsid w:val="00E46076"/>
    <w:rsid w:val="00E4779C"/>
    <w:rsid w:val="00E4781F"/>
    <w:rsid w:val="00E5227C"/>
    <w:rsid w:val="00E52E1D"/>
    <w:rsid w:val="00E54273"/>
    <w:rsid w:val="00E563F8"/>
    <w:rsid w:val="00E5673A"/>
    <w:rsid w:val="00E57F38"/>
    <w:rsid w:val="00E62D01"/>
    <w:rsid w:val="00E63422"/>
    <w:rsid w:val="00E63C6C"/>
    <w:rsid w:val="00E656A0"/>
    <w:rsid w:val="00E658B3"/>
    <w:rsid w:val="00E712E9"/>
    <w:rsid w:val="00E72D84"/>
    <w:rsid w:val="00E746D8"/>
    <w:rsid w:val="00E76085"/>
    <w:rsid w:val="00E775D5"/>
    <w:rsid w:val="00E77B24"/>
    <w:rsid w:val="00E806DA"/>
    <w:rsid w:val="00E83A1B"/>
    <w:rsid w:val="00E877FA"/>
    <w:rsid w:val="00E92A74"/>
    <w:rsid w:val="00E94E1B"/>
    <w:rsid w:val="00E9589E"/>
    <w:rsid w:val="00E969B0"/>
    <w:rsid w:val="00E97445"/>
    <w:rsid w:val="00EA004F"/>
    <w:rsid w:val="00EA3F84"/>
    <w:rsid w:val="00EA485C"/>
    <w:rsid w:val="00EA60E7"/>
    <w:rsid w:val="00EA6E80"/>
    <w:rsid w:val="00EB3CAD"/>
    <w:rsid w:val="00EB4105"/>
    <w:rsid w:val="00EB42E4"/>
    <w:rsid w:val="00EC0C1B"/>
    <w:rsid w:val="00EC1B65"/>
    <w:rsid w:val="00EC3B34"/>
    <w:rsid w:val="00EC4F6C"/>
    <w:rsid w:val="00EC6685"/>
    <w:rsid w:val="00EC7E45"/>
    <w:rsid w:val="00ED0C5D"/>
    <w:rsid w:val="00ED1D70"/>
    <w:rsid w:val="00ED2859"/>
    <w:rsid w:val="00ED3A91"/>
    <w:rsid w:val="00ED3D04"/>
    <w:rsid w:val="00ED5A16"/>
    <w:rsid w:val="00EE0797"/>
    <w:rsid w:val="00EE188B"/>
    <w:rsid w:val="00EE316D"/>
    <w:rsid w:val="00EE3193"/>
    <w:rsid w:val="00EE6A52"/>
    <w:rsid w:val="00EE7D7D"/>
    <w:rsid w:val="00EF09C3"/>
    <w:rsid w:val="00EF1CEF"/>
    <w:rsid w:val="00EF3137"/>
    <w:rsid w:val="00EF3E96"/>
    <w:rsid w:val="00EF5FA8"/>
    <w:rsid w:val="00EF738E"/>
    <w:rsid w:val="00EF752E"/>
    <w:rsid w:val="00EF7F4B"/>
    <w:rsid w:val="00F02FC1"/>
    <w:rsid w:val="00F03967"/>
    <w:rsid w:val="00F039F1"/>
    <w:rsid w:val="00F10C30"/>
    <w:rsid w:val="00F113BA"/>
    <w:rsid w:val="00F11C81"/>
    <w:rsid w:val="00F121A4"/>
    <w:rsid w:val="00F153EB"/>
    <w:rsid w:val="00F16046"/>
    <w:rsid w:val="00F16C8F"/>
    <w:rsid w:val="00F25BDA"/>
    <w:rsid w:val="00F26471"/>
    <w:rsid w:val="00F31B6A"/>
    <w:rsid w:val="00F31E9F"/>
    <w:rsid w:val="00F329EB"/>
    <w:rsid w:val="00F3533E"/>
    <w:rsid w:val="00F447D9"/>
    <w:rsid w:val="00F45529"/>
    <w:rsid w:val="00F462F1"/>
    <w:rsid w:val="00F464DD"/>
    <w:rsid w:val="00F50321"/>
    <w:rsid w:val="00F50660"/>
    <w:rsid w:val="00F50763"/>
    <w:rsid w:val="00F51B7A"/>
    <w:rsid w:val="00F528CC"/>
    <w:rsid w:val="00F543C0"/>
    <w:rsid w:val="00F54C01"/>
    <w:rsid w:val="00F560ED"/>
    <w:rsid w:val="00F62528"/>
    <w:rsid w:val="00F62B80"/>
    <w:rsid w:val="00F65CFB"/>
    <w:rsid w:val="00F66D37"/>
    <w:rsid w:val="00F72B5F"/>
    <w:rsid w:val="00F73425"/>
    <w:rsid w:val="00F73C88"/>
    <w:rsid w:val="00F81606"/>
    <w:rsid w:val="00F81610"/>
    <w:rsid w:val="00F81766"/>
    <w:rsid w:val="00F81940"/>
    <w:rsid w:val="00F83136"/>
    <w:rsid w:val="00F83522"/>
    <w:rsid w:val="00F84FC0"/>
    <w:rsid w:val="00F85FAC"/>
    <w:rsid w:val="00F90691"/>
    <w:rsid w:val="00F91E1F"/>
    <w:rsid w:val="00F94ED7"/>
    <w:rsid w:val="00F95D1E"/>
    <w:rsid w:val="00F96394"/>
    <w:rsid w:val="00F96A3C"/>
    <w:rsid w:val="00F97A98"/>
    <w:rsid w:val="00F97D17"/>
    <w:rsid w:val="00FA42A4"/>
    <w:rsid w:val="00FA5CD5"/>
    <w:rsid w:val="00FA6729"/>
    <w:rsid w:val="00FA7C95"/>
    <w:rsid w:val="00FB3841"/>
    <w:rsid w:val="00FB45FF"/>
    <w:rsid w:val="00FB48CD"/>
    <w:rsid w:val="00FB53FC"/>
    <w:rsid w:val="00FC087E"/>
    <w:rsid w:val="00FC18B5"/>
    <w:rsid w:val="00FC29DA"/>
    <w:rsid w:val="00FC3AAB"/>
    <w:rsid w:val="00FC6572"/>
    <w:rsid w:val="00FD0B18"/>
    <w:rsid w:val="00FD284A"/>
    <w:rsid w:val="00FD6715"/>
    <w:rsid w:val="00FD7A45"/>
    <w:rsid w:val="00FE01A4"/>
    <w:rsid w:val="00FE04BD"/>
    <w:rsid w:val="00FE0F86"/>
    <w:rsid w:val="00FE1B13"/>
    <w:rsid w:val="00FF03B0"/>
    <w:rsid w:val="00FF18AB"/>
    <w:rsid w:val="00FF410E"/>
    <w:rsid w:val="00FF787C"/>
    <w:rsid w:val="00FF7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99A"/>
  <w15:docId w15:val="{C58411FA-970F-4CEB-99E5-7A499628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9A4"/>
  </w:style>
  <w:style w:type="paragraph" w:styleId="Heading1">
    <w:name w:val="heading 1"/>
    <w:basedOn w:val="Normal"/>
    <w:next w:val="Normal"/>
    <w:link w:val="Heading1Char"/>
    <w:uiPriority w:val="9"/>
    <w:qFormat/>
    <w:rsid w:val="00620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5A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6B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F78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05C"/>
    <w:pPr>
      <w:ind w:left="720"/>
      <w:contextualSpacing/>
    </w:pPr>
  </w:style>
  <w:style w:type="character" w:styleId="Hyperlink">
    <w:name w:val="Hyperlink"/>
    <w:basedOn w:val="DefaultParagraphFont"/>
    <w:uiPriority w:val="99"/>
    <w:unhideWhenUsed/>
    <w:rsid w:val="00C01508"/>
    <w:rPr>
      <w:color w:val="0563C1" w:themeColor="hyperlink"/>
      <w:u w:val="single"/>
    </w:rPr>
  </w:style>
  <w:style w:type="character" w:customStyle="1" w:styleId="Mentionnonrsolue1">
    <w:name w:val="Mention non résolue1"/>
    <w:basedOn w:val="DefaultParagraphFont"/>
    <w:uiPriority w:val="99"/>
    <w:semiHidden/>
    <w:unhideWhenUsed/>
    <w:rsid w:val="00C01508"/>
    <w:rPr>
      <w:color w:val="605E5C"/>
      <w:shd w:val="clear" w:color="auto" w:fill="E1DFDD"/>
    </w:rPr>
  </w:style>
  <w:style w:type="paragraph" w:styleId="BalloonText">
    <w:name w:val="Balloon Text"/>
    <w:basedOn w:val="Normal"/>
    <w:link w:val="BalloonTextChar"/>
    <w:uiPriority w:val="99"/>
    <w:semiHidden/>
    <w:unhideWhenUsed/>
    <w:rsid w:val="00A2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FC"/>
    <w:rPr>
      <w:rFonts w:ascii="Tahoma" w:hAnsi="Tahoma" w:cs="Tahoma"/>
      <w:sz w:val="16"/>
      <w:szCs w:val="16"/>
    </w:rPr>
  </w:style>
  <w:style w:type="character" w:styleId="CommentReference">
    <w:name w:val="annotation reference"/>
    <w:basedOn w:val="DefaultParagraphFont"/>
    <w:uiPriority w:val="99"/>
    <w:semiHidden/>
    <w:unhideWhenUsed/>
    <w:rsid w:val="00F25BDA"/>
    <w:rPr>
      <w:sz w:val="16"/>
      <w:szCs w:val="16"/>
    </w:rPr>
  </w:style>
  <w:style w:type="paragraph" w:styleId="CommentText">
    <w:name w:val="annotation text"/>
    <w:basedOn w:val="Normal"/>
    <w:link w:val="CommentTextChar"/>
    <w:uiPriority w:val="99"/>
    <w:unhideWhenUsed/>
    <w:rsid w:val="00F25BDA"/>
    <w:pPr>
      <w:spacing w:line="240" w:lineRule="auto"/>
    </w:pPr>
    <w:rPr>
      <w:sz w:val="20"/>
      <w:szCs w:val="20"/>
    </w:rPr>
  </w:style>
  <w:style w:type="character" w:customStyle="1" w:styleId="CommentTextChar">
    <w:name w:val="Comment Text Char"/>
    <w:basedOn w:val="DefaultParagraphFont"/>
    <w:link w:val="CommentText"/>
    <w:uiPriority w:val="99"/>
    <w:rsid w:val="00F25BDA"/>
    <w:rPr>
      <w:sz w:val="20"/>
      <w:szCs w:val="20"/>
    </w:rPr>
  </w:style>
  <w:style w:type="paragraph" w:styleId="CommentSubject">
    <w:name w:val="annotation subject"/>
    <w:basedOn w:val="CommentText"/>
    <w:next w:val="CommentText"/>
    <w:link w:val="CommentSubjectChar"/>
    <w:uiPriority w:val="99"/>
    <w:semiHidden/>
    <w:unhideWhenUsed/>
    <w:rsid w:val="00F25BDA"/>
    <w:rPr>
      <w:b/>
      <w:bCs/>
    </w:rPr>
  </w:style>
  <w:style w:type="character" w:customStyle="1" w:styleId="CommentSubjectChar">
    <w:name w:val="Comment Subject Char"/>
    <w:basedOn w:val="CommentTextChar"/>
    <w:link w:val="CommentSubject"/>
    <w:uiPriority w:val="99"/>
    <w:semiHidden/>
    <w:rsid w:val="00F25BDA"/>
    <w:rPr>
      <w:b/>
      <w:bCs/>
      <w:sz w:val="20"/>
      <w:szCs w:val="20"/>
    </w:rPr>
  </w:style>
  <w:style w:type="character" w:styleId="FollowedHyperlink">
    <w:name w:val="FollowedHyperlink"/>
    <w:basedOn w:val="DefaultParagraphFont"/>
    <w:uiPriority w:val="99"/>
    <w:semiHidden/>
    <w:unhideWhenUsed/>
    <w:rsid w:val="00F25BDA"/>
    <w:rPr>
      <w:color w:val="954F72" w:themeColor="followedHyperlink"/>
      <w:u w:val="single"/>
    </w:rPr>
  </w:style>
  <w:style w:type="table" w:styleId="TableGrid">
    <w:name w:val="Table Grid"/>
    <w:basedOn w:val="TableNormal"/>
    <w:uiPriority w:val="59"/>
    <w:rsid w:val="00624D99"/>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78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207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78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2078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42310"/>
    <w:rPr>
      <w:b/>
      <w:bCs/>
    </w:rPr>
  </w:style>
  <w:style w:type="character" w:styleId="BookTitle">
    <w:name w:val="Book Title"/>
    <w:basedOn w:val="DefaultParagraphFont"/>
    <w:uiPriority w:val="33"/>
    <w:qFormat/>
    <w:rsid w:val="00942310"/>
    <w:rPr>
      <w:b/>
      <w:bCs/>
      <w:i/>
      <w:iCs/>
      <w:spacing w:val="5"/>
    </w:rPr>
  </w:style>
  <w:style w:type="character" w:styleId="SubtleReference">
    <w:name w:val="Subtle Reference"/>
    <w:basedOn w:val="DefaultParagraphFont"/>
    <w:uiPriority w:val="31"/>
    <w:qFormat/>
    <w:rsid w:val="00C72E24"/>
    <w:rPr>
      <w:smallCaps/>
      <w:color w:val="5A5A5A" w:themeColor="text1" w:themeTint="A5"/>
    </w:rPr>
  </w:style>
  <w:style w:type="character" w:customStyle="1" w:styleId="UnresolvedMention1">
    <w:name w:val="Unresolved Mention1"/>
    <w:basedOn w:val="DefaultParagraphFont"/>
    <w:uiPriority w:val="99"/>
    <w:semiHidden/>
    <w:unhideWhenUsed/>
    <w:rsid w:val="003A72CB"/>
    <w:rPr>
      <w:color w:val="605E5C"/>
      <w:shd w:val="clear" w:color="auto" w:fill="E1DFDD"/>
    </w:rPr>
  </w:style>
  <w:style w:type="paragraph" w:styleId="NormalWeb">
    <w:name w:val="Normal (Web)"/>
    <w:basedOn w:val="Normal"/>
    <w:uiPriority w:val="99"/>
    <w:semiHidden/>
    <w:unhideWhenUsed/>
    <w:rsid w:val="00F31E9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unhideWhenUsed/>
    <w:rsid w:val="00F54C01"/>
    <w:pPr>
      <w:spacing w:after="0" w:line="240" w:lineRule="auto"/>
    </w:pPr>
    <w:rPr>
      <w:sz w:val="20"/>
      <w:szCs w:val="20"/>
    </w:rPr>
  </w:style>
  <w:style w:type="character" w:customStyle="1" w:styleId="FootnoteTextChar">
    <w:name w:val="Footnote Text Char"/>
    <w:basedOn w:val="DefaultParagraphFont"/>
    <w:link w:val="FootnoteText"/>
    <w:uiPriority w:val="99"/>
    <w:rsid w:val="00F54C01"/>
    <w:rPr>
      <w:sz w:val="20"/>
      <w:szCs w:val="20"/>
    </w:rPr>
  </w:style>
  <w:style w:type="character" w:styleId="FootnoteReference">
    <w:name w:val="footnote reference"/>
    <w:basedOn w:val="DefaultParagraphFont"/>
    <w:uiPriority w:val="99"/>
    <w:semiHidden/>
    <w:unhideWhenUsed/>
    <w:rsid w:val="00F54C01"/>
    <w:rPr>
      <w:vertAlign w:val="superscript"/>
    </w:rPr>
  </w:style>
  <w:style w:type="character" w:customStyle="1" w:styleId="apple-converted-space">
    <w:name w:val="apple-converted-space"/>
    <w:basedOn w:val="DefaultParagraphFont"/>
    <w:rsid w:val="00405B94"/>
  </w:style>
  <w:style w:type="paragraph" w:styleId="Header">
    <w:name w:val="header"/>
    <w:basedOn w:val="Normal"/>
    <w:link w:val="HeaderChar"/>
    <w:uiPriority w:val="99"/>
    <w:unhideWhenUsed/>
    <w:rsid w:val="0044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4A0"/>
  </w:style>
  <w:style w:type="paragraph" w:styleId="Footer">
    <w:name w:val="footer"/>
    <w:basedOn w:val="Normal"/>
    <w:link w:val="FooterChar"/>
    <w:uiPriority w:val="99"/>
    <w:unhideWhenUsed/>
    <w:rsid w:val="0044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A0"/>
  </w:style>
  <w:style w:type="character" w:customStyle="1" w:styleId="Heading3Char">
    <w:name w:val="Heading 3 Char"/>
    <w:basedOn w:val="DefaultParagraphFont"/>
    <w:link w:val="Heading3"/>
    <w:uiPriority w:val="9"/>
    <w:rsid w:val="00C25A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36B0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F787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651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4977">
      <w:bodyDiv w:val="1"/>
      <w:marLeft w:val="0"/>
      <w:marRight w:val="0"/>
      <w:marTop w:val="0"/>
      <w:marBottom w:val="0"/>
      <w:divBdr>
        <w:top w:val="none" w:sz="0" w:space="0" w:color="auto"/>
        <w:left w:val="none" w:sz="0" w:space="0" w:color="auto"/>
        <w:bottom w:val="none" w:sz="0" w:space="0" w:color="auto"/>
        <w:right w:val="none" w:sz="0" w:space="0" w:color="auto"/>
      </w:divBdr>
    </w:div>
    <w:div w:id="631600696">
      <w:bodyDiv w:val="1"/>
      <w:marLeft w:val="0"/>
      <w:marRight w:val="0"/>
      <w:marTop w:val="0"/>
      <w:marBottom w:val="0"/>
      <w:divBdr>
        <w:top w:val="none" w:sz="0" w:space="0" w:color="auto"/>
        <w:left w:val="none" w:sz="0" w:space="0" w:color="auto"/>
        <w:bottom w:val="none" w:sz="0" w:space="0" w:color="auto"/>
        <w:right w:val="none" w:sz="0" w:space="0" w:color="auto"/>
      </w:divBdr>
    </w:div>
    <w:div w:id="763378217">
      <w:bodyDiv w:val="1"/>
      <w:marLeft w:val="0"/>
      <w:marRight w:val="0"/>
      <w:marTop w:val="0"/>
      <w:marBottom w:val="0"/>
      <w:divBdr>
        <w:top w:val="none" w:sz="0" w:space="0" w:color="auto"/>
        <w:left w:val="none" w:sz="0" w:space="0" w:color="auto"/>
        <w:bottom w:val="none" w:sz="0" w:space="0" w:color="auto"/>
        <w:right w:val="none" w:sz="0" w:space="0" w:color="auto"/>
      </w:divBdr>
    </w:div>
    <w:div w:id="840974130">
      <w:bodyDiv w:val="1"/>
      <w:marLeft w:val="0"/>
      <w:marRight w:val="0"/>
      <w:marTop w:val="0"/>
      <w:marBottom w:val="0"/>
      <w:divBdr>
        <w:top w:val="none" w:sz="0" w:space="0" w:color="auto"/>
        <w:left w:val="none" w:sz="0" w:space="0" w:color="auto"/>
        <w:bottom w:val="none" w:sz="0" w:space="0" w:color="auto"/>
        <w:right w:val="none" w:sz="0" w:space="0" w:color="auto"/>
      </w:divBdr>
    </w:div>
    <w:div w:id="887767581">
      <w:bodyDiv w:val="1"/>
      <w:marLeft w:val="0"/>
      <w:marRight w:val="0"/>
      <w:marTop w:val="0"/>
      <w:marBottom w:val="0"/>
      <w:divBdr>
        <w:top w:val="none" w:sz="0" w:space="0" w:color="auto"/>
        <w:left w:val="none" w:sz="0" w:space="0" w:color="auto"/>
        <w:bottom w:val="none" w:sz="0" w:space="0" w:color="auto"/>
        <w:right w:val="none" w:sz="0" w:space="0" w:color="auto"/>
      </w:divBdr>
    </w:div>
    <w:div w:id="961883205">
      <w:bodyDiv w:val="1"/>
      <w:marLeft w:val="0"/>
      <w:marRight w:val="0"/>
      <w:marTop w:val="0"/>
      <w:marBottom w:val="0"/>
      <w:divBdr>
        <w:top w:val="none" w:sz="0" w:space="0" w:color="auto"/>
        <w:left w:val="none" w:sz="0" w:space="0" w:color="auto"/>
        <w:bottom w:val="none" w:sz="0" w:space="0" w:color="auto"/>
        <w:right w:val="none" w:sz="0" w:space="0" w:color="auto"/>
      </w:divBdr>
    </w:div>
    <w:div w:id="1226336305">
      <w:bodyDiv w:val="1"/>
      <w:marLeft w:val="0"/>
      <w:marRight w:val="0"/>
      <w:marTop w:val="0"/>
      <w:marBottom w:val="0"/>
      <w:divBdr>
        <w:top w:val="none" w:sz="0" w:space="0" w:color="auto"/>
        <w:left w:val="none" w:sz="0" w:space="0" w:color="auto"/>
        <w:bottom w:val="none" w:sz="0" w:space="0" w:color="auto"/>
        <w:right w:val="none" w:sz="0" w:space="0" w:color="auto"/>
      </w:divBdr>
    </w:div>
    <w:div w:id="1288514537">
      <w:bodyDiv w:val="1"/>
      <w:marLeft w:val="0"/>
      <w:marRight w:val="0"/>
      <w:marTop w:val="0"/>
      <w:marBottom w:val="0"/>
      <w:divBdr>
        <w:top w:val="none" w:sz="0" w:space="0" w:color="auto"/>
        <w:left w:val="none" w:sz="0" w:space="0" w:color="auto"/>
        <w:bottom w:val="none" w:sz="0" w:space="0" w:color="auto"/>
        <w:right w:val="none" w:sz="0" w:space="0" w:color="auto"/>
      </w:divBdr>
    </w:div>
    <w:div w:id="1322195309">
      <w:bodyDiv w:val="1"/>
      <w:marLeft w:val="0"/>
      <w:marRight w:val="0"/>
      <w:marTop w:val="0"/>
      <w:marBottom w:val="0"/>
      <w:divBdr>
        <w:top w:val="none" w:sz="0" w:space="0" w:color="auto"/>
        <w:left w:val="none" w:sz="0" w:space="0" w:color="auto"/>
        <w:bottom w:val="none" w:sz="0" w:space="0" w:color="auto"/>
        <w:right w:val="none" w:sz="0" w:space="0" w:color="auto"/>
      </w:divBdr>
    </w:div>
    <w:div w:id="1372070930">
      <w:bodyDiv w:val="1"/>
      <w:marLeft w:val="0"/>
      <w:marRight w:val="0"/>
      <w:marTop w:val="0"/>
      <w:marBottom w:val="0"/>
      <w:divBdr>
        <w:top w:val="none" w:sz="0" w:space="0" w:color="auto"/>
        <w:left w:val="none" w:sz="0" w:space="0" w:color="auto"/>
        <w:bottom w:val="none" w:sz="0" w:space="0" w:color="auto"/>
        <w:right w:val="none" w:sz="0" w:space="0" w:color="auto"/>
      </w:divBdr>
    </w:div>
    <w:div w:id="1411350522">
      <w:bodyDiv w:val="1"/>
      <w:marLeft w:val="0"/>
      <w:marRight w:val="0"/>
      <w:marTop w:val="0"/>
      <w:marBottom w:val="0"/>
      <w:divBdr>
        <w:top w:val="none" w:sz="0" w:space="0" w:color="auto"/>
        <w:left w:val="none" w:sz="0" w:space="0" w:color="auto"/>
        <w:bottom w:val="none" w:sz="0" w:space="0" w:color="auto"/>
        <w:right w:val="none" w:sz="0" w:space="0" w:color="auto"/>
      </w:divBdr>
      <w:divsChild>
        <w:div w:id="1653754233">
          <w:marLeft w:val="0"/>
          <w:marRight w:val="0"/>
          <w:marTop w:val="0"/>
          <w:marBottom w:val="0"/>
          <w:divBdr>
            <w:top w:val="none" w:sz="0" w:space="0" w:color="auto"/>
            <w:left w:val="none" w:sz="0" w:space="0" w:color="auto"/>
            <w:bottom w:val="none" w:sz="0" w:space="0" w:color="auto"/>
            <w:right w:val="none" w:sz="0" w:space="0" w:color="auto"/>
          </w:divBdr>
          <w:divsChild>
            <w:div w:id="1185093776">
              <w:marLeft w:val="0"/>
              <w:marRight w:val="0"/>
              <w:marTop w:val="0"/>
              <w:marBottom w:val="0"/>
              <w:divBdr>
                <w:top w:val="none" w:sz="0" w:space="0" w:color="auto"/>
                <w:left w:val="none" w:sz="0" w:space="0" w:color="auto"/>
                <w:bottom w:val="none" w:sz="0" w:space="0" w:color="auto"/>
                <w:right w:val="none" w:sz="0" w:space="0" w:color="auto"/>
              </w:divBdr>
              <w:divsChild>
                <w:div w:id="1309819080">
                  <w:marLeft w:val="0"/>
                  <w:marRight w:val="0"/>
                  <w:marTop w:val="0"/>
                  <w:marBottom w:val="0"/>
                  <w:divBdr>
                    <w:top w:val="none" w:sz="0" w:space="0" w:color="auto"/>
                    <w:left w:val="none" w:sz="0" w:space="0" w:color="auto"/>
                    <w:bottom w:val="none" w:sz="0" w:space="0" w:color="auto"/>
                    <w:right w:val="none" w:sz="0" w:space="0" w:color="auto"/>
                  </w:divBdr>
                  <w:divsChild>
                    <w:div w:id="6045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9907">
      <w:bodyDiv w:val="1"/>
      <w:marLeft w:val="0"/>
      <w:marRight w:val="0"/>
      <w:marTop w:val="0"/>
      <w:marBottom w:val="0"/>
      <w:divBdr>
        <w:top w:val="none" w:sz="0" w:space="0" w:color="auto"/>
        <w:left w:val="none" w:sz="0" w:space="0" w:color="auto"/>
        <w:bottom w:val="none" w:sz="0" w:space="0" w:color="auto"/>
        <w:right w:val="none" w:sz="0" w:space="0" w:color="auto"/>
      </w:divBdr>
    </w:div>
    <w:div w:id="1666783460">
      <w:bodyDiv w:val="1"/>
      <w:marLeft w:val="0"/>
      <w:marRight w:val="0"/>
      <w:marTop w:val="0"/>
      <w:marBottom w:val="0"/>
      <w:divBdr>
        <w:top w:val="none" w:sz="0" w:space="0" w:color="auto"/>
        <w:left w:val="none" w:sz="0" w:space="0" w:color="auto"/>
        <w:bottom w:val="none" w:sz="0" w:space="0" w:color="auto"/>
        <w:right w:val="none" w:sz="0" w:space="0" w:color="auto"/>
      </w:divBdr>
    </w:div>
    <w:div w:id="1774940201">
      <w:bodyDiv w:val="1"/>
      <w:marLeft w:val="0"/>
      <w:marRight w:val="0"/>
      <w:marTop w:val="0"/>
      <w:marBottom w:val="0"/>
      <w:divBdr>
        <w:top w:val="none" w:sz="0" w:space="0" w:color="auto"/>
        <w:left w:val="none" w:sz="0" w:space="0" w:color="auto"/>
        <w:bottom w:val="none" w:sz="0" w:space="0" w:color="auto"/>
        <w:right w:val="none" w:sz="0" w:space="0" w:color="auto"/>
      </w:divBdr>
    </w:div>
    <w:div w:id="1844933159">
      <w:bodyDiv w:val="1"/>
      <w:marLeft w:val="0"/>
      <w:marRight w:val="0"/>
      <w:marTop w:val="0"/>
      <w:marBottom w:val="0"/>
      <w:divBdr>
        <w:top w:val="none" w:sz="0" w:space="0" w:color="auto"/>
        <w:left w:val="none" w:sz="0" w:space="0" w:color="auto"/>
        <w:bottom w:val="none" w:sz="0" w:space="0" w:color="auto"/>
        <w:right w:val="none" w:sz="0" w:space="0" w:color="auto"/>
      </w:divBdr>
      <w:divsChild>
        <w:div w:id="837186394">
          <w:marLeft w:val="0"/>
          <w:marRight w:val="0"/>
          <w:marTop w:val="0"/>
          <w:marBottom w:val="0"/>
          <w:divBdr>
            <w:top w:val="none" w:sz="0" w:space="0" w:color="auto"/>
            <w:left w:val="none" w:sz="0" w:space="0" w:color="auto"/>
            <w:bottom w:val="none" w:sz="0" w:space="0" w:color="auto"/>
            <w:right w:val="none" w:sz="0" w:space="0" w:color="auto"/>
          </w:divBdr>
          <w:divsChild>
            <w:div w:id="1337465389">
              <w:marLeft w:val="0"/>
              <w:marRight w:val="0"/>
              <w:marTop w:val="0"/>
              <w:marBottom w:val="0"/>
              <w:divBdr>
                <w:top w:val="none" w:sz="0" w:space="0" w:color="auto"/>
                <w:left w:val="none" w:sz="0" w:space="0" w:color="auto"/>
                <w:bottom w:val="none" w:sz="0" w:space="0" w:color="auto"/>
                <w:right w:val="none" w:sz="0" w:space="0" w:color="auto"/>
              </w:divBdr>
              <w:divsChild>
                <w:div w:id="852037842">
                  <w:marLeft w:val="0"/>
                  <w:marRight w:val="0"/>
                  <w:marTop w:val="0"/>
                  <w:marBottom w:val="0"/>
                  <w:divBdr>
                    <w:top w:val="none" w:sz="0" w:space="0" w:color="auto"/>
                    <w:left w:val="none" w:sz="0" w:space="0" w:color="auto"/>
                    <w:bottom w:val="none" w:sz="0" w:space="0" w:color="auto"/>
                    <w:right w:val="none" w:sz="0" w:space="0" w:color="auto"/>
                  </w:divBdr>
                  <w:divsChild>
                    <w:div w:id="2345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eda@zkpr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uczv.wz.cz/wp-content/uploads/statut-narodneho-fora-pre-celozivotne-poradenstvo-1.pdf" TargetMode="External"/><Relationship Id="rId3" Type="http://schemas.openxmlformats.org/officeDocument/2006/relationships/hyperlink" Target="http://web.saaic.sk/nrcg_new/.%5Ckniznica%5C2013%5CCMS_v_sektore_vzdelavania_eBook.pdf" TargetMode="External"/><Relationship Id="rId7" Type="http://schemas.openxmlformats.org/officeDocument/2006/relationships/hyperlink" Target="http://www.cedefop.europa.eu/files/5188_en.pdf" TargetMode="External"/><Relationship Id="rId2" Type="http://schemas.openxmlformats.org/officeDocument/2006/relationships/hyperlink" Target="http://www.lmiforall.org.uk/" TargetMode="External"/><Relationship Id="rId1" Type="http://schemas.openxmlformats.org/officeDocument/2006/relationships/hyperlink" Target="http://www.elgpn.eu/publications/elgpn-tools-no-6-guidelines-for-policies-and-systems-development-for-lifelong-guidance" TargetMode="External"/><Relationship Id="rId6" Type="http://schemas.openxmlformats.org/officeDocument/2006/relationships/hyperlink" Target="http://guidancequality.eu" TargetMode="External"/><Relationship Id="rId5" Type="http://schemas.openxmlformats.org/officeDocument/2006/relationships/hyperlink" Target="http://matrixstandard.com/" TargetMode="External"/><Relationship Id="rId4" Type="http://schemas.openxmlformats.org/officeDocument/2006/relationships/hyperlink" Target="https://rozvojkariery.sk/50-odtienov-kvality-anglicky-standard-matrix-limity-certifikovania-individualnych-porad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96F3-1A9C-44DF-A611-6D93CF5D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4882</Words>
  <Characters>27834</Characters>
  <Application>Microsoft Office Word</Application>
  <DocSecurity>0</DocSecurity>
  <Lines>231</Lines>
  <Paragraphs>65</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
      <vt:lpstr/>
      <vt:lpstr/>
    </vt:vector>
  </TitlesOfParts>
  <Company>Hewlett-Packard</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Sprlak</dc:creator>
  <cp:lastModifiedBy>Tomas Sprlak</cp:lastModifiedBy>
  <cp:revision>76</cp:revision>
  <dcterms:created xsi:type="dcterms:W3CDTF">2018-08-30T07:46:00Z</dcterms:created>
  <dcterms:modified xsi:type="dcterms:W3CDTF">2018-09-09T10:18:00Z</dcterms:modified>
</cp:coreProperties>
</file>